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footer2.xml" ContentType="application/vnd.openxmlformats-officedocument.wordprocessingml.footer+xml"/>
  <Override PartName="/word/media/rId177.png" ContentType="image/png"/>
  <Override PartName="/word/media/rId169.png" ContentType="image/png"/>
  <Override PartName="/word/media/rId173.png" ContentType="image/png"/>
  <Override PartName="/word/media/image1.png" ContentType="image/png"/>
  <Override PartName="/word/media/image3.png" ContentType="image/png"/>
  <Override PartName="/word/media/image5.png" ContentType="image/png"/>
  <Override PartName="/word/media/image2.png" ContentType="image/png"/>
  <Override PartName="/word/media/image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The</w:t>
      </w:r>
      <w:r>
        <w:t xml:space="preserve"> </w:t>
      </w:r>
      <w:r>
        <w:t xml:space="preserve">Geography</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United</w:t>
      </w:r>
      <w:r>
        <w:t xml:space="preserve"> </w:t>
      </w:r>
      <w:r>
        <w:t xml:space="preserve">States</w:t>
      </w:r>
    </w:p>
    <w:p>
      <w:pPr>
        <w:pStyle w:val="Author"/>
      </w:pPr>
      <w:r>
        <w:t xml:space="preserve">Nathan</w:t>
      </w:r>
      <w:r>
        <w:t xml:space="preserve"> </w:t>
      </w:r>
      <w:r>
        <w:t xml:space="preserve">I.</w:t>
      </w:r>
      <w:r>
        <w:t xml:space="preserve"> </w:t>
      </w:r>
      <w:r>
        <w:t xml:space="preserve">Hoffmann,</w:t>
      </w:r>
      <w:r>
        <w:t xml:space="preserve"> </w:t>
      </w:r>
      <w:r>
        <w:t xml:space="preserve">Department</w:t>
      </w:r>
      <w:r>
        <w:t xml:space="preserve"> </w:t>
      </w:r>
      <w:r>
        <w:t xml:space="preserve">of</w:t>
      </w:r>
      <w:r>
        <w:t xml:space="preserve"> </w:t>
      </w:r>
      <w:r>
        <w:t xml:space="preserve">Sociology,</w:t>
      </w:r>
      <w:r>
        <w:t xml:space="preserve"> </w:t>
      </w:r>
      <w:r>
        <w:t xml:space="preserve">UCLA</w:t>
      </w:r>
    </w:p>
    <w:p>
      <w:pPr>
        <w:pStyle w:val="Author"/>
      </w:pPr>
      <w:r>
        <w:t xml:space="preserve">Kristopher</w:t>
      </w:r>
      <w:r>
        <w:t xml:space="preserve"> </w:t>
      </w:r>
      <w:r>
        <w:t xml:space="preserve">Velasco,</w:t>
      </w:r>
      <w:r>
        <w:t xml:space="preserve"> </w:t>
      </w:r>
      <w:r>
        <w:t xml:space="preserve">Department</w:t>
      </w:r>
      <w:r>
        <w:t xml:space="preserve"> </w:t>
      </w:r>
      <w:r>
        <w:t xml:space="preserve">of</w:t>
      </w:r>
      <w:r>
        <w:t xml:space="preserve"> </w:t>
      </w:r>
      <w:r>
        <w:t xml:space="preserve">Sociology,</w:t>
      </w:r>
      <w:r>
        <w:t xml:space="preserve"> </w:t>
      </w:r>
      <w:r>
        <w:t xml:space="preserve">Princeton</w:t>
      </w:r>
      <w:r>
        <w:t xml:space="preserve"> </w:t>
      </w:r>
      <w:r>
        <w:t xml:space="preserve">University</w:t>
      </w:r>
    </w:p>
    <w:p>
      <w:pPr>
        <w:pStyle w:val="Date"/>
      </w:pPr>
      <w:r>
        <w:t xml:space="preserve">May</w:t>
      </w:r>
      <w:r>
        <w:t xml:space="preserve"> </w:t>
      </w:r>
      <w:r>
        <w:t xml:space="preserve">26,</w:t>
      </w:r>
      <w:r>
        <w:t xml:space="preserve"> </w:t>
      </w:r>
      <w:r>
        <w:t xml:space="preserve">2025</w:t>
      </w:r>
    </w:p>
    <w:p>
      <w:pPr>
        <w:pStyle w:val="AbstractTitle"/>
      </w:pPr>
      <w:r>
        <w:t xml:space="preserve">Abstract</w:t>
      </w:r>
    </w:p>
    <w:p>
      <w:pPr>
        <w:pStyle w:val="Abstract"/>
      </w:pPr>
      <w:r>
        <w:t xml:space="preserve">Where</w:t>
      </w:r>
      <w:r>
        <w:t xml:space="preserve"> </w:t>
      </w:r>
      <w:r>
        <w:t xml:space="preserve">do</w:t>
      </w:r>
      <w:r>
        <w:t xml:space="preserve"> </w:t>
      </w:r>
      <w:r>
        <w:t xml:space="preserve">LGBTQ+</w:t>
      </w:r>
      <w:r>
        <w:t xml:space="preserve"> </w:t>
      </w:r>
      <w:r>
        <w:t xml:space="preserve">immigrants</w:t>
      </w:r>
      <w:r>
        <w:t xml:space="preserve"> </w:t>
      </w:r>
      <w:r>
        <w:t xml:space="preserve">settle</w:t>
      </w:r>
      <w:r>
        <w:t xml:space="preserve"> </w:t>
      </w:r>
      <w:r>
        <w:t xml:space="preserve">in</w:t>
      </w:r>
      <w:r>
        <w:t xml:space="preserve"> </w:t>
      </w:r>
      <w:r>
        <w:t xml:space="preserve">the</w:t>
      </w:r>
      <w:r>
        <w:t xml:space="preserve"> </w:t>
      </w:r>
      <w:r>
        <w:t xml:space="preserve">United</w:t>
      </w:r>
      <w:r>
        <w:t xml:space="preserve"> </w:t>
      </w:r>
      <w:r>
        <w:t xml:space="preserve">States?</w:t>
      </w:r>
      <w:r>
        <w:t xml:space="preserve"> </w:t>
      </w:r>
      <w:r>
        <w:t xml:space="preserve">The</w:t>
      </w:r>
      <w:r>
        <w:t xml:space="preserve"> </w:t>
      </w:r>
      <w:r>
        <w:t xml:space="preserve">policy</w:t>
      </w:r>
      <w:r>
        <w:t xml:space="preserve"> </w:t>
      </w:r>
      <w:r>
        <w:t xml:space="preserve">landscape</w:t>
      </w:r>
      <w:r>
        <w:t xml:space="preserve"> </w:t>
      </w:r>
      <w:r>
        <w:t xml:space="preserve">for</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has</w:t>
      </w:r>
      <w:r>
        <w:t xml:space="preserve"> </w:t>
      </w:r>
      <w:r>
        <w:t xml:space="preserve">changed</w:t>
      </w:r>
      <w:r>
        <w:t xml:space="preserve"> </w:t>
      </w:r>
      <w:r>
        <w:t xml:space="preserve">rapidly</w:t>
      </w:r>
      <w:r>
        <w:t xml:space="preserve"> </w:t>
      </w:r>
      <w:r>
        <w:t xml:space="preserve">in</w:t>
      </w:r>
      <w:r>
        <w:t xml:space="preserve"> </w:t>
      </w:r>
      <w:r>
        <w:t xml:space="preserve">recent</w:t>
      </w:r>
      <w:r>
        <w:t xml:space="preserve"> </w:t>
      </w:r>
      <w:r>
        <w:t xml:space="preserve">years,</w:t>
      </w:r>
      <w:r>
        <w:t xml:space="preserve"> </w:t>
      </w:r>
      <w:r>
        <w:t xml:space="preserve">and</w:t>
      </w:r>
      <w:r>
        <w:t xml:space="preserve"> </w:t>
      </w:r>
      <w:r>
        <w:t xml:space="preserve">number</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have</w:t>
      </w:r>
      <w:r>
        <w:t xml:space="preserve"> </w:t>
      </w:r>
      <w:r>
        <w:t xml:space="preserve">increased</w:t>
      </w:r>
      <w:r>
        <w:t xml:space="preserve"> </w:t>
      </w:r>
      <w:r>
        <w:t xml:space="preserve">rapidly.</w:t>
      </w:r>
      <w:r>
        <w:t xml:space="preserve"> </w:t>
      </w:r>
      <w:r>
        <w:t xml:space="preserve">But</w:t>
      </w:r>
      <w:r>
        <w:t xml:space="preserve"> </w:t>
      </w:r>
      <w:r>
        <w:t xml:space="preserve">little</w:t>
      </w:r>
      <w:r>
        <w:t xml:space="preserve"> </w:t>
      </w:r>
      <w:r>
        <w:t xml:space="preserve">is</w:t>
      </w:r>
      <w:r>
        <w:t xml:space="preserve"> </w:t>
      </w:r>
      <w:r>
        <w:t xml:space="preserve">known</w:t>
      </w:r>
      <w:r>
        <w:t xml:space="preserve"> </w:t>
      </w:r>
      <w:r>
        <w:t xml:space="preserve">about</w:t>
      </w:r>
      <w:r>
        <w:t xml:space="preserve"> </w:t>
      </w:r>
      <w:r>
        <w:t xml:space="preserve">where</w:t>
      </w:r>
      <w:r>
        <w:t xml:space="preserve"> </w:t>
      </w:r>
      <w:r>
        <w:t xml:space="preserve">these</w:t>
      </w:r>
      <w:r>
        <w:t xml:space="preserve"> </w:t>
      </w:r>
      <w:r>
        <w:t xml:space="preserve">lesbian,</w:t>
      </w:r>
      <w:r>
        <w:t xml:space="preserve"> </w:t>
      </w:r>
      <w:r>
        <w:t xml:space="preserve">gay,</w:t>
      </w:r>
      <w:r>
        <w:t xml:space="preserve"> </w:t>
      </w:r>
      <w:r>
        <w:t xml:space="preserve">bisexual,</w:t>
      </w:r>
      <w:r>
        <w:t xml:space="preserve"> </w:t>
      </w:r>
      <w:r>
        <w:t xml:space="preserve">and</w:t>
      </w:r>
      <w:r>
        <w:t xml:space="preserve"> </w:t>
      </w:r>
      <w:r>
        <w:t xml:space="preserve">queer</w:t>
      </w:r>
      <w:r>
        <w:t xml:space="preserve"> </w:t>
      </w:r>
      <w:r>
        <w:t xml:space="preserve">(LGBQ)</w:t>
      </w:r>
      <w:r>
        <w:t xml:space="preserve"> </w:t>
      </w:r>
      <w:r>
        <w:t xml:space="preserve">immigrants</w:t>
      </w:r>
      <w:r>
        <w:t xml:space="preserve"> </w:t>
      </w:r>
      <w:r>
        <w:t xml:space="preserve">choose</w:t>
      </w:r>
      <w:r>
        <w:t xml:space="preserve"> </w:t>
      </w:r>
      <w:r>
        <w:t xml:space="preserve">to</w:t>
      </w:r>
      <w:r>
        <w:t xml:space="preserve"> </w:t>
      </w:r>
      <w:r>
        <w:t xml:space="preserve">settle</w:t>
      </w:r>
      <w:r>
        <w:t xml:space="preserve"> </w:t>
      </w:r>
      <w:r>
        <w:t xml:space="preserve">and</w:t>
      </w:r>
      <w:r>
        <w:t xml:space="preserve"> </w:t>
      </w:r>
      <w:r>
        <w:t xml:space="preserve">enjoy</w:t>
      </w:r>
      <w:r>
        <w:t xml:space="preserve"> </w:t>
      </w:r>
      <w:r>
        <w:t xml:space="preserve">their</w:t>
      </w:r>
      <w:r>
        <w:t xml:space="preserve"> </w:t>
      </w:r>
      <w:r>
        <w:t xml:space="preserve">new</w:t>
      </w:r>
      <w:r>
        <w:t xml:space="preserve"> </w:t>
      </w:r>
      <w:r>
        <w:t xml:space="preserve">rights.</w:t>
      </w:r>
      <w:r>
        <w:t xml:space="preserve"> </w:t>
      </w:r>
      <w:r>
        <w:t xml:space="preserve">Do</w:t>
      </w:r>
      <w:r>
        <w:t xml:space="preserve"> </w:t>
      </w:r>
      <w:r>
        <w:t xml:space="preserve">they</w:t>
      </w:r>
      <w:r>
        <w:t xml:space="preserve"> </w:t>
      </w:r>
      <w:r>
        <w:t xml:space="preserve">behave</w:t>
      </w:r>
      <w:r>
        <w:t xml:space="preserve"> </w:t>
      </w:r>
      <w:r>
        <w:t xml:space="preserve">more</w:t>
      </w:r>
      <w:r>
        <w:t xml:space="preserve"> </w:t>
      </w:r>
      <w:r>
        <w:t xml:space="preserve">similarly</w:t>
      </w:r>
      <w:r>
        <w:t xml:space="preserve"> </w:t>
      </w:r>
      <w:r>
        <w:t xml:space="preserve">to</w:t>
      </w:r>
      <w:r>
        <w:t xml:space="preserve"> </w:t>
      </w:r>
      <w:r>
        <w:t xml:space="preserve">their</w:t>
      </w:r>
      <w:r>
        <w:t xml:space="preserve"> </w:t>
      </w:r>
      <w:r>
        <w:t xml:space="preserve">straight</w:t>
      </w:r>
      <w:r>
        <w:t xml:space="preserve"> </w:t>
      </w:r>
      <w:r>
        <w:t xml:space="preserve">immigrant</w:t>
      </w:r>
      <w:r>
        <w:t xml:space="preserve"> </w:t>
      </w:r>
      <w:r>
        <w:t xml:space="preserve">counterparts</w:t>
      </w:r>
      <w:r>
        <w:t xml:space="preserve"> </w:t>
      </w:r>
      <w:r>
        <w:t xml:space="preserve">and</w:t>
      </w:r>
      <w:r>
        <w:t xml:space="preserve"> </w:t>
      </w:r>
      <w:r>
        <w:t xml:space="preserve">locate</w:t>
      </w:r>
      <w:r>
        <w:t xml:space="preserve"> </w:t>
      </w:r>
      <w:r>
        <w:t xml:space="preserve">based</w:t>
      </w:r>
      <w:r>
        <w:t xml:space="preserve"> </w:t>
      </w:r>
      <w:r>
        <w:t xml:space="preserve">on</w:t>
      </w:r>
      <w:r>
        <w:t xml:space="preserve"> </w:t>
      </w:r>
      <w:r>
        <w:t xml:space="preserve">job</w:t>
      </w:r>
      <w:r>
        <w:t xml:space="preserve"> </w:t>
      </w:r>
      <w:r>
        <w:t xml:space="preserve">opportunities</w:t>
      </w:r>
      <w:r>
        <w:t xml:space="preserve"> </w:t>
      </w:r>
      <w:r>
        <w:t xml:space="preserve">and</w:t>
      </w:r>
      <w:r>
        <w:t xml:space="preserve"> </w:t>
      </w:r>
      <w:r>
        <w:t xml:space="preserve">cost</w:t>
      </w:r>
      <w:r>
        <w:t xml:space="preserve"> </w:t>
      </w:r>
      <w:r>
        <w:t xml:space="preserve">of</w:t>
      </w:r>
      <w:r>
        <w:t xml:space="preserve"> </w:t>
      </w:r>
      <w:r>
        <w:t xml:space="preserve">living?</w:t>
      </w:r>
      <w:r>
        <w:t xml:space="preserve"> </w:t>
      </w:r>
      <w:r>
        <w:t xml:space="preserve">Or</w:t>
      </w:r>
      <w:r>
        <w:t xml:space="preserve"> </w:t>
      </w:r>
      <w:r>
        <w:t xml:space="preserve">do</w:t>
      </w:r>
      <w:r>
        <w:t xml:space="preserve"> </w:t>
      </w:r>
      <w:r>
        <w:t xml:space="preserve">they</w:t>
      </w:r>
      <w:r>
        <w:t xml:space="preserve"> </w:t>
      </w:r>
      <w:r>
        <w:t xml:space="preserve">gravitate</w:t>
      </w:r>
      <w:r>
        <w:t xml:space="preserve"> </w:t>
      </w:r>
      <w:r>
        <w:t xml:space="preserve">toward</w:t>
      </w:r>
      <w:r>
        <w:t xml:space="preserve"> </w:t>
      </w:r>
      <w:r>
        <w:t xml:space="preserve">more</w:t>
      </w:r>
      <w:r>
        <w:t xml:space="preserve"> </w:t>
      </w:r>
      <w:r>
        <w:t xml:space="preserve">LGBTQ+-friendly</w:t>
      </w:r>
      <w:r>
        <w:t xml:space="preserve"> </w:t>
      </w:r>
      <w:r>
        <w:t xml:space="preserve">cities</w:t>
      </w:r>
      <w:r>
        <w:t xml:space="preserve"> </w:t>
      </w:r>
      <w:r>
        <w:t xml:space="preserve">and</w:t>
      </w:r>
      <w:r>
        <w:t xml:space="preserve"> </w:t>
      </w:r>
      <w:r>
        <w:t xml:space="preserve">states,</w:t>
      </w:r>
      <w:r>
        <w:t xml:space="preserve"> </w:t>
      </w:r>
      <w:r>
        <w:t xml:space="preserve">as</w:t>
      </w:r>
      <w:r>
        <w:t xml:space="preserve"> </w:t>
      </w:r>
      <w:r>
        <w:t xml:space="preserve">U.S.-born</w:t>
      </w:r>
      <w:r>
        <w:t xml:space="preserve"> </w:t>
      </w:r>
      <w:r>
        <w:t xml:space="preserve">LGBQ</w:t>
      </w:r>
      <w:r>
        <w:t xml:space="preserve"> </w:t>
      </w:r>
      <w:r>
        <w:t xml:space="preserve">people</w:t>
      </w:r>
      <w:r>
        <w:t xml:space="preserve"> </w:t>
      </w:r>
      <w:r>
        <w:t xml:space="preserve">do?</w:t>
      </w:r>
      <w:r>
        <w:t xml:space="preserve"> </w:t>
      </w:r>
      <w:r>
        <w:t xml:space="preserve">How</w:t>
      </w:r>
      <w:r>
        <w:t xml:space="preserve"> </w:t>
      </w:r>
      <w:r>
        <w:t xml:space="preserve">have</w:t>
      </w:r>
      <w:r>
        <w:t xml:space="preserve"> </w:t>
      </w:r>
      <w:r>
        <w:t xml:space="preserve">these</w:t>
      </w:r>
      <w:r>
        <w:t xml:space="preserve"> </w:t>
      </w:r>
      <w:r>
        <w:t xml:space="preserve">patterns</w:t>
      </w:r>
      <w:r>
        <w:t xml:space="preserve"> </w:t>
      </w:r>
      <w:r>
        <w:t xml:space="preserve">changed</w:t>
      </w:r>
      <w:r>
        <w:t xml:space="preserve"> </w:t>
      </w:r>
      <w:r>
        <w:t xml:space="preserve">over</w:t>
      </w:r>
      <w:r>
        <w:t xml:space="preserve"> </w:t>
      </w:r>
      <w:r>
        <w:t xml:space="preserve">time,</w:t>
      </w:r>
      <w:r>
        <w:t xml:space="preserve"> </w:t>
      </w:r>
      <w:r>
        <w:t xml:space="preserve">especially</w:t>
      </w:r>
      <w:r>
        <w:t xml:space="preserve"> </w:t>
      </w:r>
      <w:r>
        <w:t xml:space="preserve">in</w:t>
      </w:r>
      <w:r>
        <w:t xml:space="preserve"> </w:t>
      </w:r>
      <w:r>
        <w:t xml:space="preserve">conjunction</w:t>
      </w:r>
      <w:r>
        <w:t xml:space="preserve"> </w:t>
      </w:r>
      <w:r>
        <w:t xml:space="preserve">with</w:t>
      </w:r>
      <w:r>
        <w:t xml:space="preserve"> </w:t>
      </w:r>
      <w:r>
        <w:t xml:space="preserve">local</w:t>
      </w:r>
      <w:r>
        <w:t xml:space="preserve"> </w:t>
      </w:r>
      <w:r>
        <w:t xml:space="preserve">policy</w:t>
      </w:r>
      <w:r>
        <w:t xml:space="preserve"> </w:t>
      </w:r>
      <w:r>
        <w:t xml:space="preserve">changes</w:t>
      </w:r>
      <w:r>
        <w:t xml:space="preserve"> </w:t>
      </w:r>
      <w:r>
        <w:t xml:space="preserve">relevant</w:t>
      </w:r>
      <w:r>
        <w:t xml:space="preserve"> </w:t>
      </w:r>
      <w:r>
        <w:t xml:space="preserve">to</w:t>
      </w:r>
      <w:r>
        <w:t xml:space="preserve"> </w:t>
      </w:r>
      <w:r>
        <w:t xml:space="preserve">LGBTQ+</w:t>
      </w:r>
      <w:r>
        <w:t xml:space="preserve"> </w:t>
      </w:r>
      <w:r>
        <w:t xml:space="preserve">people</w:t>
      </w:r>
      <w:r>
        <w:t xml:space="preserve"> </w:t>
      </w:r>
      <w:r>
        <w:t xml:space="preserve">and</w:t>
      </w:r>
      <w:r>
        <w:t xml:space="preserve"> </w:t>
      </w:r>
      <w:r>
        <w:t xml:space="preserve">immigrants?</w:t>
      </w:r>
      <w:r>
        <w:t xml:space="preserve"> </w:t>
      </w:r>
      <w:r>
        <w:t xml:space="preserve">Using</w:t>
      </w:r>
      <w:r>
        <w:t xml:space="preserve"> </w:t>
      </w:r>
      <w:r>
        <w:t xml:space="preserve">American</w:t>
      </w:r>
      <w:r>
        <w:t xml:space="preserve"> </w:t>
      </w:r>
      <w:r>
        <w:t xml:space="preserve">Community</w:t>
      </w:r>
      <w:r>
        <w:t xml:space="preserve"> </w:t>
      </w:r>
      <w:r>
        <w:t xml:space="preserve">Survey</w:t>
      </w:r>
      <w:r>
        <w:t xml:space="preserve"> </w:t>
      </w:r>
      <w:r>
        <w:t xml:space="preserve">data</w:t>
      </w:r>
      <w:r>
        <w:t xml:space="preserve"> </w:t>
      </w:r>
      <w:r>
        <w:t xml:space="preserve">from</w:t>
      </w:r>
      <w:r>
        <w:t xml:space="preserve"> </w:t>
      </w:r>
      <w:r>
        <w:t xml:space="preserve">2008-2023</w:t>
      </w:r>
      <w:r>
        <w:t xml:space="preserve"> </w:t>
      </w:r>
      <w:r>
        <w:t xml:space="preserve">and</w:t>
      </w:r>
      <w:r>
        <w:t xml:space="preserve"> </w:t>
      </w:r>
      <w:r>
        <w:t xml:space="preserve">original</w:t>
      </w:r>
      <w:r>
        <w:t xml:space="preserve"> </w:t>
      </w:r>
      <w:r>
        <w:t xml:space="preserve">datasets,</w:t>
      </w:r>
      <w:r>
        <w:t xml:space="preserve"> </w:t>
      </w:r>
      <w:r>
        <w:t xml:space="preserve">this</w:t>
      </w:r>
      <w:r>
        <w:t xml:space="preserve"> </w:t>
      </w:r>
      <w:r>
        <w:t xml:space="preserve">paper</w:t>
      </w:r>
      <w:r>
        <w:t xml:space="preserve"> </w:t>
      </w:r>
      <w:r>
        <w:t xml:space="preserve">studies</w:t>
      </w:r>
      <w:r>
        <w:t xml:space="preserve"> </w:t>
      </w:r>
      <w:r>
        <w:t xml:space="preserve">the</w:t>
      </w:r>
      <w:r>
        <w:t xml:space="preserve"> </w:t>
      </w:r>
      <w:r>
        <w:t xml:space="preserve">geographic</w:t>
      </w:r>
      <w:r>
        <w:t xml:space="preserve"> </w:t>
      </w:r>
      <w:r>
        <w:t xml:space="preserve">context</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in</w:t>
      </w:r>
      <w:r>
        <w:t xml:space="preserve"> </w:t>
      </w:r>
      <w:r>
        <w:t xml:space="preserve">the</w:t>
      </w:r>
      <w:r>
        <w:t xml:space="preserve"> </w:t>
      </w:r>
      <w:r>
        <w:t xml:space="preserve">U.S.</w:t>
      </w:r>
      <w:r>
        <w:t xml:space="preserve"> </w:t>
      </w:r>
      <w:r>
        <w:t xml:space="preserve">We</w:t>
      </w:r>
      <w:r>
        <w:t xml:space="preserve"> </w:t>
      </w:r>
      <w:r>
        <w:t xml:space="preserve">find</w:t>
      </w:r>
      <w:r>
        <w:t xml:space="preserve"> </w:t>
      </w:r>
      <w:r>
        <w:t xml:space="preserve">that</w:t>
      </w:r>
      <w:r>
        <w:t xml:space="preserve"> </w:t>
      </w:r>
      <w:r>
        <w:t xml:space="preserve">the</w:t>
      </w:r>
      <w:r>
        <w:t xml:space="preserve"> </w:t>
      </w:r>
      <w:r>
        <w:t xml:space="preserve">distribution</w:t>
      </w:r>
      <w:r>
        <w:t xml:space="preserve"> </w:t>
      </w:r>
      <w:r>
        <w:t xml:space="preserve">of</w:t>
      </w:r>
      <w:r>
        <w:t xml:space="preserve"> </w:t>
      </w:r>
      <w:r>
        <w:t xml:space="preserve">immigrants</w:t>
      </w:r>
      <w:r>
        <w:t xml:space="preserve"> </w:t>
      </w:r>
      <w:r>
        <w:t xml:space="preserve">in</w:t>
      </w:r>
      <w:r>
        <w:t xml:space="preserve"> </w:t>
      </w:r>
      <w:r>
        <w:t xml:space="preserve">same-sex</w:t>
      </w:r>
      <w:r>
        <w:t xml:space="preserve"> </w:t>
      </w:r>
      <w:r>
        <w:t xml:space="preserve">couples</w:t>
      </w:r>
      <w:r>
        <w:t xml:space="preserve"> </w:t>
      </w:r>
      <w:r>
        <w:t xml:space="preserve">is</w:t>
      </w:r>
      <w:r>
        <w:t xml:space="preserve"> </w:t>
      </w:r>
      <w:r>
        <w:t xml:space="preserve">expanding</w:t>
      </w:r>
      <w:r>
        <w:t xml:space="preserve"> </w:t>
      </w:r>
      <w:r>
        <w:t xml:space="preserve">across</w:t>
      </w:r>
      <w:r>
        <w:t xml:space="preserve"> </w:t>
      </w:r>
      <w:r>
        <w:t xml:space="preserve">the</w:t>
      </w:r>
      <w:r>
        <w:t xml:space="preserve"> </w:t>
      </w:r>
      <w:r>
        <w:t xml:space="preserve">U.S.</w:t>
      </w:r>
      <w:r>
        <w:t xml:space="preserve"> </w:t>
      </w:r>
      <w:r>
        <w:t xml:space="preserve">over</w:t>
      </w:r>
      <w:r>
        <w:t xml:space="preserve"> </w:t>
      </w:r>
      <w:r>
        <w:t xml:space="preserve">time.</w:t>
      </w:r>
      <w:r>
        <w:t xml:space="preserve"> </w:t>
      </w:r>
      <w:r>
        <w:t xml:space="preserve">Individually,</w:t>
      </w:r>
      <w:r>
        <w:t xml:space="preserve"> </w:t>
      </w:r>
      <w:r>
        <w:t xml:space="preserve">these</w:t>
      </w:r>
      <w:r>
        <w:t xml:space="preserve"> </w:t>
      </w:r>
      <w:r>
        <w:t xml:space="preserve">immigrants</w:t>
      </w:r>
      <w:r>
        <w:t xml:space="preserve"> </w:t>
      </w:r>
      <w:r>
        <w:t xml:space="preserve">resemble</w:t>
      </w:r>
      <w:r>
        <w:t xml:space="preserve"> </w:t>
      </w:r>
      <w:r>
        <w:t xml:space="preserve">U.S.-born</w:t>
      </w:r>
      <w:r>
        <w:t xml:space="preserve"> </w:t>
      </w:r>
      <w:r>
        <w:t xml:space="preserve">LGBQ</w:t>
      </w:r>
      <w:r>
        <w:t xml:space="preserve"> </w:t>
      </w:r>
      <w:r>
        <w:t xml:space="preserve">Americans,</w:t>
      </w:r>
      <w:r>
        <w:t xml:space="preserve"> </w:t>
      </w:r>
      <w:r>
        <w:t xml:space="preserve">with</w:t>
      </w:r>
      <w:r>
        <w:t xml:space="preserve"> </w:t>
      </w:r>
      <w:r>
        <w:t xml:space="preserve">higher</w:t>
      </w:r>
      <w:r>
        <w:t xml:space="preserve"> </w:t>
      </w:r>
      <w:r>
        <w:t xml:space="preserve">incomes</w:t>
      </w:r>
      <w:r>
        <w:t xml:space="preserve"> </w:t>
      </w:r>
      <w:r>
        <w:t xml:space="preserve">and</w:t>
      </w:r>
      <w:r>
        <w:t xml:space="preserve"> </w:t>
      </w:r>
      <w:r>
        <w:t xml:space="preserve">educational</w:t>
      </w:r>
      <w:r>
        <w:t xml:space="preserve"> </w:t>
      </w:r>
      <w:r>
        <w:t xml:space="preserve">attainment.</w:t>
      </w:r>
      <w:r>
        <w:t xml:space="preserve"> </w:t>
      </w:r>
      <w:r>
        <w:t xml:space="preserve">At</w:t>
      </w:r>
      <w:r>
        <w:t xml:space="preserve"> </w:t>
      </w:r>
      <w:r>
        <w:t xml:space="preserve">the</w:t>
      </w:r>
      <w:r>
        <w:t xml:space="preserve"> </w:t>
      </w:r>
      <w:r>
        <w:t xml:space="preserve">geographic</w:t>
      </w:r>
      <w:r>
        <w:t xml:space="preserve"> </w:t>
      </w:r>
      <w:r>
        <w:t xml:space="preserve">level,</w:t>
      </w:r>
      <w:r>
        <w:t xml:space="preserve"> </w:t>
      </w:r>
      <w:r>
        <w:t xml:space="preserve">they</w:t>
      </w:r>
      <w:r>
        <w:t xml:space="preserve"> </w:t>
      </w:r>
      <w:r>
        <w:t xml:space="preserve">appear</w:t>
      </w:r>
      <w:r>
        <w:t xml:space="preserve"> </w:t>
      </w:r>
      <w:r>
        <w:t xml:space="preserve">more</w:t>
      </w:r>
      <w:r>
        <w:t xml:space="preserve"> </w:t>
      </w:r>
      <w:r>
        <w:t xml:space="preserve">distinct,</w:t>
      </w:r>
      <w:r>
        <w:t xml:space="preserve"> </w:t>
      </w:r>
      <w:r>
        <w:t xml:space="preserve">clustering</w:t>
      </w:r>
      <w:r>
        <w:t xml:space="preserve"> </w:t>
      </w:r>
      <w:r>
        <w:t xml:space="preserve">in</w:t>
      </w:r>
      <w:r>
        <w:t xml:space="preserve"> </w:t>
      </w:r>
      <w:r>
        <w:t xml:space="preserve">areas</w:t>
      </w:r>
      <w:r>
        <w:t xml:space="preserve"> </w:t>
      </w:r>
      <w:r>
        <w:t xml:space="preserve">with</w:t>
      </w:r>
      <w:r>
        <w:t xml:space="preserve"> </w:t>
      </w:r>
      <w:r>
        <w:t xml:space="preserve">more</w:t>
      </w:r>
      <w:r>
        <w:t xml:space="preserve"> </w:t>
      </w:r>
      <w:r>
        <w:t xml:space="preserve">LGBT</w:t>
      </w:r>
      <w:r>
        <w:t xml:space="preserve"> </w:t>
      </w:r>
      <w:r>
        <w:t xml:space="preserve">nonprofit</w:t>
      </w:r>
      <w:r>
        <w:t xml:space="preserve"> </w:t>
      </w:r>
      <w:r>
        <w:t xml:space="preserve">organizations,</w:t>
      </w:r>
      <w:r>
        <w:t xml:space="preserve"> </w:t>
      </w:r>
      <w:r>
        <w:t xml:space="preserve">greater</w:t>
      </w:r>
      <w:r>
        <w:t xml:space="preserve"> </w:t>
      </w:r>
      <w:r>
        <w:t xml:space="preserve">numbers</w:t>
      </w:r>
      <w:r>
        <w:t xml:space="preserve"> </w:t>
      </w:r>
      <w:r>
        <w:t xml:space="preserve">of</w:t>
      </w:r>
      <w:r>
        <w:t xml:space="preserve"> </w:t>
      </w:r>
      <w:r>
        <w:t xml:space="preserve">immigrants,</w:t>
      </w:r>
      <w:r>
        <w:t xml:space="preserve"> </w:t>
      </w:r>
      <w:r>
        <w:t xml:space="preserve">higher</w:t>
      </w:r>
      <w:r>
        <w:t xml:space="preserve"> </w:t>
      </w:r>
      <w:r>
        <w:t xml:space="preserve">density,</w:t>
      </w:r>
      <w:r>
        <w:t xml:space="preserve"> </w:t>
      </w:r>
      <w:r>
        <w:t xml:space="preserve">and</w:t>
      </w:r>
      <w:r>
        <w:t xml:space="preserve"> </w:t>
      </w:r>
      <w:r>
        <w:t xml:space="preserve">higher</w:t>
      </w:r>
      <w:r>
        <w:t xml:space="preserve"> </w:t>
      </w:r>
      <w:r>
        <w:t xml:space="preserve">property</w:t>
      </w:r>
      <w:r>
        <w:t xml:space="preserve"> </w:t>
      </w:r>
      <w:r>
        <w:t xml:space="preserve">values</w:t>
      </w:r>
      <w:r>
        <w:t xml:space="preserve"> </w:t>
      </w:r>
      <w:r>
        <w:t xml:space="preserve">than</w:t>
      </w:r>
      <w:r>
        <w:t xml:space="preserve"> </w:t>
      </w:r>
      <w:r>
        <w:t xml:space="preserve">the</w:t>
      </w:r>
      <w:r>
        <w:t xml:space="preserve"> </w:t>
      </w:r>
      <w:r>
        <w:t xml:space="preserve">U.S.-born</w:t>
      </w:r>
      <w:r>
        <w:t xml:space="preserve"> </w:t>
      </w:r>
      <w:r>
        <w:t xml:space="preserve">in</w:t>
      </w:r>
      <w:r>
        <w:t xml:space="preserve"> </w:t>
      </w:r>
      <w:r>
        <w:t xml:space="preserve">same-sex</w:t>
      </w:r>
      <w:r>
        <w:t xml:space="preserve"> </w:t>
      </w:r>
      <w:r>
        <w:t xml:space="preserve">couples.</w:t>
      </w:r>
      <w:r>
        <w:t xml:space="preserve"> </w:t>
      </w:r>
      <w:r>
        <w:t xml:space="preserve">Our</w:t>
      </w:r>
      <w:r>
        <w:t xml:space="preserve"> </w:t>
      </w:r>
      <w:r>
        <w:t xml:space="preserve">findings</w:t>
      </w:r>
      <w:r>
        <w:t xml:space="preserve"> </w:t>
      </w:r>
      <w:r>
        <w:t xml:space="preserve">contribute</w:t>
      </w:r>
      <w:r>
        <w:t xml:space="preserve"> </w:t>
      </w:r>
      <w:r>
        <w:t xml:space="preserve">to</w:t>
      </w:r>
      <w:r>
        <w:t xml:space="preserve"> </w:t>
      </w:r>
      <w:r>
        <w:t xml:space="preserve">a</w:t>
      </w:r>
      <w:r>
        <w:t xml:space="preserve"> </w:t>
      </w:r>
      <w:r>
        <w:t xml:space="preserve">fuller</w:t>
      </w:r>
      <w:r>
        <w:t xml:space="preserve"> </w:t>
      </w:r>
      <w:r>
        <w:t xml:space="preserve">understanding</w:t>
      </w:r>
      <w:r>
        <w:t xml:space="preserve"> </w:t>
      </w:r>
      <w:r>
        <w:t xml:space="preserve">of</w:t>
      </w:r>
      <w:r>
        <w:t xml:space="preserve"> </w:t>
      </w:r>
      <w:r>
        <w:t xml:space="preserve">this</w:t>
      </w:r>
      <w:r>
        <w:t xml:space="preserve"> </w:t>
      </w:r>
      <w:r>
        <w:t xml:space="preserve">rapidly</w:t>
      </w:r>
      <w:r>
        <w:t xml:space="preserve"> </w:t>
      </w:r>
      <w:r>
        <w:t xml:space="preserve">growing</w:t>
      </w:r>
      <w:r>
        <w:t xml:space="preserve"> </w:t>
      </w:r>
      <w:r>
        <w:t xml:space="preserve">population</w:t>
      </w:r>
      <w:r>
        <w:t xml:space="preserve"> </w:t>
      </w:r>
      <w:r>
        <w:t xml:space="preserve">and</w:t>
      </w:r>
      <w:r>
        <w:t xml:space="preserve"> </w:t>
      </w:r>
      <w:r>
        <w:t xml:space="preserve">its</w:t>
      </w:r>
      <w:r>
        <w:t xml:space="preserve"> </w:t>
      </w:r>
      <w:r>
        <w:t xml:space="preserve">unique</w:t>
      </w:r>
      <w:r>
        <w:t xml:space="preserve"> </w:t>
      </w:r>
      <w:r>
        <w:t xml:space="preserve">characteristics.</w:t>
      </w:r>
    </w:p>
    <w:bookmarkStart w:id="20" w:name="introduction"/>
    <w:p>
      <w:pPr>
        <w:pStyle w:val="Heading1"/>
      </w:pPr>
      <w:r>
        <w:t xml:space="preserve">Introduction</w:t>
      </w:r>
    </w:p>
    <w:p>
      <w:pPr>
        <w:pStyle w:val="FirstParagraph"/>
      </w:pPr>
      <w:r>
        <w:t xml:space="preserve">Residential equity and the geographic distribution of people are linked to a variety of important demographic and social outcomes such as health and well-being, exposure to environmental and social hazards, access to quality education, and social capital, among others. Changing legal landscapes are salient factors influencing settlement patterns. This is especially true for LGBTQ+ migrants; recent policy changes have opened pathways for for asylees seeking refuge from repressive contexts, elite LGBTQ+ migrants selecting ideal cosmopolitan destinations, or those wanting to be reunified with their binational partner</w:t>
      </w:r>
      <w:r>
        <w:t xml:space="preserve"> </w:t>
      </w:r>
      <w:r>
        <w:t xml:space="preserve">(</w:t>
      </w:r>
      <w:hyperlink w:anchor="ref-carrillo_2018">
        <w:r>
          <w:rPr>
            <w:rStyle w:val="Hyperlink"/>
          </w:rPr>
          <w:t xml:space="preserve">Carrillo 2018</w:t>
        </w:r>
      </w:hyperlink>
      <w:r>
        <w:t xml:space="preserve">;</w:t>
      </w:r>
      <w:r>
        <w:t xml:space="preserve"> </w:t>
      </w:r>
      <w:hyperlink w:anchor="ref-mai_2009">
        <w:r>
          <w:rPr>
            <w:rStyle w:val="Hyperlink"/>
          </w:rPr>
          <w:t xml:space="preserve">Mai and King 2009</w:t>
        </w:r>
      </w:hyperlink>
      <w:r>
        <w:t xml:space="preserve">;</w:t>
      </w:r>
      <w:r>
        <w:t xml:space="preserve"> </w:t>
      </w:r>
      <w:hyperlink w:anchor="ref-gorman-murray_2009">
        <w:r>
          <w:rPr>
            <w:rStyle w:val="Hyperlink"/>
          </w:rPr>
          <w:t xml:space="preserve">Gorman-Murray 2009</w:t>
        </w:r>
      </w:hyperlink>
      <w:r>
        <w:t xml:space="preserve">;</w:t>
      </w:r>
      <w:r>
        <w:t xml:space="preserve"> </w:t>
      </w:r>
      <w:hyperlink w:anchor="ref-vogler_2016">
        <w:r>
          <w:rPr>
            <w:rStyle w:val="Hyperlink"/>
          </w:rPr>
          <w:t xml:space="preserve">Vogler 2016</w:t>
        </w:r>
      </w:hyperlink>
      <w:r>
        <w:t xml:space="preserve">;</w:t>
      </w:r>
      <w:r>
        <w:t xml:space="preserve"> </w:t>
      </w:r>
      <w:hyperlink w:anchor="ref-choi_2022_global">
        <w:r>
          <w:rPr>
            <w:rStyle w:val="Hyperlink"/>
          </w:rPr>
          <w:t xml:space="preserve">Choi 2022</w:t>
        </w:r>
      </w:hyperlink>
      <w:r>
        <w:t xml:space="preserve">;</w:t>
      </w:r>
      <w:r>
        <w:t xml:space="preserve"> </w:t>
      </w:r>
      <w:hyperlink w:anchor="ref-difeliciantonio_2016_situating">
        <w:r>
          <w:rPr>
            <w:rStyle w:val="Hyperlink"/>
          </w:rPr>
          <w:t xml:space="preserve">Di Feliciantonio and Gadelha 2016</w:t>
        </w:r>
      </w:hyperlink>
      <w:r>
        <w:t xml:space="preserve">;</w:t>
      </w:r>
      <w:r>
        <w:t xml:space="preserve"> </w:t>
      </w:r>
      <w:hyperlink w:anchor="ref-hoffmann_2024_policy">
        <w:r>
          <w:rPr>
            <w:rStyle w:val="Hyperlink"/>
          </w:rPr>
          <w:t xml:space="preserve">Hoffmann and Velasco 2024a</w:t>
        </w:r>
      </w:hyperlink>
      <w:r>
        <w:t xml:space="preserve">;</w:t>
      </w:r>
      <w:r>
        <w:t xml:space="preserve"> </w:t>
      </w:r>
      <w:hyperlink w:anchor="ref-yang_2024_rethinking">
        <w:r>
          <w:rPr>
            <w:rStyle w:val="Hyperlink"/>
          </w:rPr>
          <w:t xml:space="preserve">Yang 2024</w:t>
        </w:r>
      </w:hyperlink>
      <w:r>
        <w:t xml:space="preserve">;</w:t>
      </w:r>
      <w:r>
        <w:t xml:space="preserve"> </w:t>
      </w:r>
      <w:hyperlink w:anchor="ref-jones_2025_jigsaw">
        <w:r>
          <w:rPr>
            <w:rStyle w:val="Hyperlink"/>
          </w:rPr>
          <w:t xml:space="preserve">Jones 2025</w:t>
        </w:r>
      </w:hyperlink>
      <w:r>
        <w:t xml:space="preserve">)</w:t>
      </w:r>
      <w:r>
        <w:t xml:space="preserve">. A notable policy development relevant to this latter group came in 2013, when the U.S. Supreme Court overturned the Defense of Marriage Act and required the U.S. government to recognize marriages between same-sex spouses. This decision radically changed the immigration landscape: For the first time, same-sex spouses of U.S. citizens and lawful permanent residents were eligible to file a spousal or fiancée petition for an immigrant visa</w:t>
      </w:r>
      <w:r>
        <w:t xml:space="preserve"> </w:t>
      </w:r>
      <w:r>
        <w:t xml:space="preserve">(</w:t>
      </w:r>
      <w:hyperlink w:anchor="ref-edwards_2013">
        <w:r>
          <w:rPr>
            <w:rStyle w:val="Hyperlink"/>
          </w:rPr>
          <w:t xml:space="preserve">Edwards 2013</w:t>
        </w:r>
      </w:hyperlink>
      <w:r>
        <w:t xml:space="preserve">)</w:t>
      </w:r>
      <w:r>
        <w:t xml:space="preserve">. In the years since, the U.S. population of lesbian, gay, bisexual, and queer (LGBQ) immigrants has grown rapidly. As</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show, numbers of different-sex couples (whether cohabiting or married) containing immigrants increased by 22 percent from 2008 to 2019 (from 7.8 million to 9.5 million), while those of corresponding same-sex couples grew by 140 percent in the same period (from 44 thousand to 107 thousand).</w:t>
      </w:r>
    </w:p>
    <w:p>
      <w:pPr>
        <w:pStyle w:val="BodyText"/>
      </w:pPr>
      <w:r>
        <w:t xml:space="preserve">Despite increased interest on this growing population, especially in the wake of the DOMA decision, little is known on</w:t>
      </w:r>
      <w:r>
        <w:t xml:space="preserve"> </w:t>
      </w:r>
      <w:r>
        <w:rPr>
          <w:iCs/>
          <w:i/>
        </w:rPr>
        <w:t xml:space="preserve">where</w:t>
      </w:r>
      <w:r>
        <w:t xml:space="preserve"> </w:t>
      </w:r>
      <w:r>
        <w:t xml:space="preserve">LGBQ migrants settle and enjoy their new rights after entering the U.S. Do they gravitate toward LGBTQ+-friendly cities and states, or are they more concerned with job opportunities and cost of living? How have these patterns changed over time, especially in the context of shifting local policy changes relevant to LGBTQ+ people and immigrants? Research makes clear that LGBTQ+ migrants can often feel caught between their sexual identity and migrant community. Do patterns of settlement align with their fellow migrants or, does their dispersion mirror their U.S-born LGBQ counterparts? Addressing this question offers important insights into how social processes ultimately affect populations caught in potentially countervailing forces.</w:t>
      </w:r>
    </w:p>
    <w:p>
      <w:pPr>
        <w:pStyle w:val="BodyText"/>
      </w:pPr>
      <w:r>
        <w:t xml:space="preserve">This paper implements descriptive analyses to study how settlement patterns of immigrants in same-sex couples in the U.S. respond to local and national policy changes as well as other local conditions. To tease apart the unique characteristics of our focal group – immigrants in same-sex couples in the U.S. – we compare them to two other groups: immigrants in different-sex couples and U.S.-born people in same-sex couples. We compare individual characteristics of these three groups before turning to their geographic distribution and characteristics of their places of residence. We leverage data from the American Community Survey, spanning 2008 to 2023, to do so.</w:t>
      </w:r>
    </w:p>
    <w:p>
      <w:pPr>
        <w:pStyle w:val="BodyText"/>
      </w:pPr>
      <w:r>
        <w:t xml:space="preserve">Results suggest that the distribution of immigrants in same-sex couples dramatically expanded across the U.S. during this time period. Moreover, in individual characteristics, LGBQ migrants resemble the U.S.-born in same-sex couples more than fellow immigrants. Although their post-DOMA rates of marriage are higher than U.S.-born LGBQ individuals (likely due to the immigration benefits of marriage), their high incomes, occupational prestige, and educational attainment as well as few children closely match the characteristics in U.S.-born same-sex couples. At the geographic level, however, they behave as more of a distinct group. In some respects they resemble other immigrants, residing in areas with high proportions of Hispanic and immigrant individuals. But they also cluster in localities with more LGBT nonprofit organizations, higher density, and higher property values than either immigrants more broadly or the U.S.-born in same-sex couples. Our findings contribute to a fuller understanding of this rapidly growing population and in what aspects they appear more similar to their fellow migrants, their fellow sexual minorities, or as a distinct population.</w:t>
      </w:r>
    </w:p>
    <w:bookmarkEnd w:id="20"/>
    <w:bookmarkStart w:id="24" w:name="background"/>
    <w:p>
      <w:pPr>
        <w:pStyle w:val="Heading1"/>
      </w:pPr>
      <w:r>
        <w:t xml:space="preserve">Background</w:t>
      </w:r>
    </w:p>
    <w:p>
      <w:pPr>
        <w:pStyle w:val="FirstParagraph"/>
      </w:pPr>
      <w:r>
        <w:t xml:space="preserve">We bridge two streams of literature – one on immigrant settlement patterns and the other on LGBTQ+ residential dispersion – to understand where immigrants in same-sex relationships live in the U.S. Migration scholars are particularly interested in the distribution of migrants to understand processes of spatial integration and assimilation</w:t>
      </w:r>
      <w:r>
        <w:t xml:space="preserve"> </w:t>
      </w:r>
      <w:r>
        <w:t xml:space="preserve">(</w:t>
      </w:r>
      <w:hyperlink w:anchor="ref-waters_2005">
        <w:r>
          <w:rPr>
            <w:rStyle w:val="Hyperlink"/>
          </w:rPr>
          <w:t xml:space="preserve">Waters and Jiménez 2005</w:t>
        </w:r>
      </w:hyperlink>
      <w:r>
        <w:t xml:space="preserve">;</w:t>
      </w:r>
      <w:r>
        <w:t xml:space="preserve"> </w:t>
      </w:r>
      <w:hyperlink w:anchor="ref-gordon_1964_assimilation">
        <w:r>
          <w:rPr>
            <w:rStyle w:val="Hyperlink"/>
          </w:rPr>
          <w:t xml:space="preserve">Gordon 1964</w:t>
        </w:r>
      </w:hyperlink>
      <w:r>
        <w:t xml:space="preserve">)</w:t>
      </w:r>
      <w:r>
        <w:t xml:space="preserve">. But this question of spatial distribution is also relevant to the residential patterns of LGBTQ+ populations. Research finds that LGBTQ+ individuals, particularly gay men, historically concentrate in urban neighborhoods, i.e.,</w:t>
      </w:r>
      <w:r>
        <w:t xml:space="preserve"> </w:t>
      </w:r>
      <w:r>
        <w:t xml:space="preserve">“</w:t>
      </w:r>
      <w:r>
        <w:t xml:space="preserve">gayborhoods.</w:t>
      </w:r>
      <w:r>
        <w:t xml:space="preserve">”</w:t>
      </w:r>
      <w:r>
        <w:t xml:space="preserve"> </w:t>
      </w:r>
      <w:r>
        <w:t xml:space="preserve">But now this concentration is declining – perhaps indicating greater social acceptance as LGBTQ+ individuals integrate into other geographic areas</w:t>
      </w:r>
      <w:r>
        <w:t xml:space="preserve"> </w:t>
      </w:r>
      <w:r>
        <w:t xml:space="preserve">(</w:t>
      </w:r>
      <w:hyperlink w:anchor="ref-spring_2024_new">
        <w:r>
          <w:rPr>
            <w:rStyle w:val="Hyperlink"/>
          </w:rPr>
          <w:t xml:space="preserve">A. Spring and Ghaziani 2024</w:t>
        </w:r>
      </w:hyperlink>
      <w:r>
        <w:t xml:space="preserve">)</w:t>
      </w:r>
      <w:r>
        <w:t xml:space="preserve">. As immigrants in same-sex couples continue to rapidly expand in number</w:t>
      </w:r>
      <w:r>
        <w:t xml:space="preserve"> </w:t>
      </w:r>
      <w:r>
        <w:t xml:space="preserve">(</w:t>
      </w:r>
      <w:hyperlink w:anchor="ref-hoffmann_2023_sexuality">
        <w:r>
          <w:rPr>
            <w:rStyle w:val="Hyperlink"/>
          </w:rPr>
          <w:t xml:space="preserve">Hoffmann and Velasco 2023</w:t>
        </w:r>
      </w:hyperlink>
      <w:r>
        <w:t xml:space="preserve">)</w:t>
      </w:r>
      <w:r>
        <w:t xml:space="preserve">, this case allows us to understand where these individuals locate amid differing pressures and whether they hew to their co-migrants or, instead, live in areas more aligned with their U.S.-born LGBQ counterparts. Of course, a third option exists, which is that immigrants in same-sex couples, along with LGBTQ+ migrants more broadly, represent a distinct population whose residential patterns are unlike either of their two adjoining counterparts. Knowing where LGBTQ+ migrants locate can better determine where services and social support need to be targeted and which social forces are most salient.</w:t>
      </w:r>
    </w:p>
    <w:bookmarkStart w:id="21" w:name="Xd70438b44f410029984e862a1a5de249f27e690"/>
    <w:p>
      <w:pPr>
        <w:pStyle w:val="Heading2"/>
      </w:pPr>
      <w:r>
        <w:t xml:space="preserve">Immigrant Settlement in the United States</w:t>
      </w:r>
    </w:p>
    <w:p>
      <w:pPr>
        <w:pStyle w:val="FirstParagraph"/>
      </w:pPr>
      <w:r>
        <w:t xml:space="preserve">There is a long history in migration studies investigating settlement patterns. Theories of particular destination choice after entering a country are similar to theories of migration more broadly. At one level, neoclassical economic theories predict that migrants will follow wage and unemployment differentials to places with high labor demand</w:t>
      </w:r>
      <w:r>
        <w:t xml:space="preserve"> </w:t>
      </w:r>
      <w:r>
        <w:t xml:space="preserve">(</w:t>
      </w:r>
      <w:hyperlink w:anchor="ref-hatton_2005a">
        <w:r>
          <w:rPr>
            <w:rStyle w:val="Hyperlink"/>
          </w:rPr>
          <w:t xml:space="preserve">Hatton and Williamson 2005</w:t>
        </w:r>
      </w:hyperlink>
      <w:r>
        <w:t xml:space="preserve">;</w:t>
      </w:r>
      <w:r>
        <w:t xml:space="preserve"> </w:t>
      </w:r>
      <w:hyperlink w:anchor="ref-todaro_1980">
        <w:r>
          <w:rPr>
            <w:rStyle w:val="Hyperlink"/>
          </w:rPr>
          <w:t xml:space="preserve">Todaro 1980</w:t>
        </w:r>
      </w:hyperlink>
      <w:r>
        <w:t xml:space="preserve">)</w:t>
      </w:r>
      <w:r>
        <w:t xml:space="preserve">.</w:t>
      </w:r>
      <w:r>
        <w:t xml:space="preserve"> </w:t>
      </w:r>
      <w:r>
        <w:t xml:space="preserve">Newbold (</w:t>
      </w:r>
      <w:hyperlink w:anchor="ref-newbold_1999_spatial">
        <w:r>
          <w:rPr>
            <w:rStyle w:val="Hyperlink"/>
          </w:rPr>
          <w:t xml:space="preserve">1999</w:t>
        </w:r>
      </w:hyperlink>
      <w:r>
        <w:t xml:space="preserve">)</w:t>
      </w:r>
      <w:r>
        <w:t xml:space="preserve"> </w:t>
      </w:r>
      <w:r>
        <w:t xml:space="preserve">shows how these economic factors help explain settlement patterns in the U.S., also pointing to the importance of government welfare programs and the local immigration rate. This last effect highlights the importance of migrant networks that share information and resources to lower the cost of migration and settling in the destination, promoting settlement in migrant-dense locations</w:t>
      </w:r>
      <w:r>
        <w:t xml:space="preserve"> </w:t>
      </w:r>
      <w:r>
        <w:t xml:space="preserve">(</w:t>
      </w:r>
      <w:hyperlink w:anchor="ref-massey_1987">
        <w:r>
          <w:rPr>
            <w:rStyle w:val="Hyperlink"/>
          </w:rPr>
          <w:t xml:space="preserve">Massey et al. 1987</w:t>
        </w:r>
      </w:hyperlink>
      <w:r>
        <w:t xml:space="preserve">)</w:t>
      </w:r>
      <w:r>
        <w:t xml:space="preserve">. Similarly, institutions that arise to recruit workers and ease entry and settlement can promote migration to particular destinations</w:t>
      </w:r>
      <w:r>
        <w:t xml:space="preserve"> </w:t>
      </w:r>
      <w:r>
        <w:t xml:space="preserve">(</w:t>
      </w:r>
      <w:hyperlink w:anchor="ref-hernandez-leon_2013">
        <w:r>
          <w:rPr>
            <w:rStyle w:val="Hyperlink"/>
          </w:rPr>
          <w:t xml:space="preserve">Hernández-León 2013</w:t>
        </w:r>
      </w:hyperlink>
      <w:r>
        <w:t xml:space="preserve">)</w:t>
      </w:r>
      <w:r>
        <w:t xml:space="preserve">. Local political factors can also influence migrant settlement. For example,</w:t>
      </w:r>
      <w:r>
        <w:t xml:space="preserve"> </w:t>
      </w:r>
      <w:r>
        <w:t xml:space="preserve">Watson (</w:t>
      </w:r>
      <w:hyperlink w:anchor="ref-watson_2013_enforcement">
        <w:r>
          <w:rPr>
            <w:rStyle w:val="Hyperlink"/>
          </w:rPr>
          <w:t xml:space="preserve">2013</w:t>
        </w:r>
      </w:hyperlink>
      <w:r>
        <w:t xml:space="preserve">)</w:t>
      </w:r>
      <w:r>
        <w:t xml:space="preserve"> </w:t>
      </w:r>
      <w:r>
        <w:t xml:space="preserve">shows that U.S. metropolitan areas that adopt 287(g) agreements – allowing local agencies to enforce Federal immigration law – see significantly greater propensity of immigrants to leave and relocate to more hospitable parts of the U.S.</w:t>
      </w:r>
    </w:p>
    <w:p>
      <w:pPr>
        <w:pStyle w:val="BodyText"/>
      </w:pPr>
      <w:r>
        <w:t xml:space="preserve">Settlement also varies by individual-level characteristics.</w:t>
      </w:r>
      <w:r>
        <w:t xml:space="preserve"> </w:t>
      </w:r>
      <w:r>
        <w:t xml:space="preserve">South, Crowder, and Chavez (</w:t>
      </w:r>
      <w:hyperlink w:anchor="ref-south_2005_migration">
        <w:r>
          <w:rPr>
            <w:rStyle w:val="Hyperlink"/>
          </w:rPr>
          <w:t xml:space="preserve">2005</w:t>
        </w:r>
      </w:hyperlink>
      <w:r>
        <w:t xml:space="preserve">)</w:t>
      </w:r>
      <w:r>
        <w:t xml:space="preserve"> </w:t>
      </w:r>
      <w:r>
        <w:t xml:space="preserve">find greater spatial assimilation for Latino immigrants – i.e., they are more likely to live among non-Hispanic, White Americans – when they have greater human and economic capital and greater English proficiency.</w:t>
      </w:r>
      <w:r>
        <w:t xml:space="preserve"> </w:t>
      </w:r>
      <w:r>
        <w:t xml:space="preserve">Iceland and Scopilliti (</w:t>
      </w:r>
      <w:hyperlink w:anchor="ref-iceland_2008_immigrant">
        <w:r>
          <w:rPr>
            <w:rStyle w:val="Hyperlink"/>
          </w:rPr>
          <w:t xml:space="preserve">2008</w:t>
        </w:r>
      </w:hyperlink>
      <w:r>
        <w:t xml:space="preserve">)</w:t>
      </w:r>
      <w:r>
        <w:t xml:space="preserve"> </w:t>
      </w:r>
      <w:r>
        <w:t xml:space="preserve">find similar results, with migrants more likely to live among the U.S.-born when they have been in the U.S. longer, have higher earnings, and own a home.</w:t>
      </w:r>
    </w:p>
    <w:p>
      <w:pPr>
        <w:pStyle w:val="BodyText"/>
      </w:pPr>
      <w:r>
        <w:t xml:space="preserve">Scholars have turned to studying so-called</w:t>
      </w:r>
      <w:r>
        <w:t xml:space="preserve"> </w:t>
      </w:r>
      <w:r>
        <w:t xml:space="preserve">“</w:t>
      </w:r>
      <w:r>
        <w:t xml:space="preserve">new</w:t>
      </w:r>
      <w:r>
        <w:t xml:space="preserve">”</w:t>
      </w:r>
      <w:r>
        <w:t xml:space="preserve"> </w:t>
      </w:r>
      <w:r>
        <w:t xml:space="preserve">immigrant destinations in the U.S. in recent years. Mass migration of the late 1800s and early 1900s was characterized by immigrants from Europe who tended to settle in densely populated urban areas, especially major Eastern and Midwestern cities such as New York and Chicago. As the century progressed, migration from Europe was mostly cut off</w:t>
      </w:r>
      <w:r>
        <w:t xml:space="preserve"> </w:t>
      </w:r>
      <w:r>
        <w:t xml:space="preserve">(</w:t>
      </w:r>
      <w:hyperlink w:anchor="ref-waldinger_2023_impeding">
        <w:r>
          <w:rPr>
            <w:rStyle w:val="Hyperlink"/>
          </w:rPr>
          <w:t xml:space="preserve">Waldinger, Hoffmann, and Catron 2023</w:t>
        </w:r>
      </w:hyperlink>
      <w:r>
        <w:t xml:space="preserve">;</w:t>
      </w:r>
      <w:r>
        <w:t xml:space="preserve"> </w:t>
      </w:r>
      <w:hyperlink w:anchor="ref-zolberg_2008_nation">
        <w:r>
          <w:rPr>
            <w:rStyle w:val="Hyperlink"/>
          </w:rPr>
          <w:t xml:space="preserve">Zolberg 2008</w:t>
        </w:r>
      </w:hyperlink>
      <w:r>
        <w:t xml:space="preserve">)</w:t>
      </w:r>
      <w:r>
        <w:t xml:space="preserve">. As migration from Latin America increased, major cities along the Southern border – especially in California and Texas – saw the greatest growth in migrants</w:t>
      </w:r>
      <w:r>
        <w:t xml:space="preserve"> </w:t>
      </w:r>
      <w:r>
        <w:t xml:space="preserve">(</w:t>
      </w:r>
      <w:hyperlink w:anchor="ref-chiswick_2004_where">
        <w:r>
          <w:rPr>
            <w:rStyle w:val="Hyperlink"/>
          </w:rPr>
          <w:t xml:space="preserve">Chiswick and Miller 2004</w:t>
        </w:r>
      </w:hyperlink>
      <w:r>
        <w:t xml:space="preserve">)</w:t>
      </w:r>
      <w:r>
        <w:t xml:space="preserve">. But in a trend first noticed in the 1990s and early 2000s</w:t>
      </w:r>
      <w:r>
        <w:t xml:space="preserve"> </w:t>
      </w:r>
      <w:r>
        <w:t xml:space="preserve">(</w:t>
      </w:r>
      <w:hyperlink w:anchor="ref-durand_2000_changing">
        <w:r>
          <w:rPr>
            <w:rStyle w:val="Hyperlink"/>
          </w:rPr>
          <w:t xml:space="preserve">Durand, Massey, and Charvet 2000</w:t>
        </w:r>
      </w:hyperlink>
      <w:r>
        <w:t xml:space="preserve">;</w:t>
      </w:r>
      <w:r>
        <w:t xml:space="preserve"> </w:t>
      </w:r>
      <w:hyperlink w:anchor="ref-singer_2004_rise">
        <w:r>
          <w:rPr>
            <w:rStyle w:val="Hyperlink"/>
          </w:rPr>
          <w:t xml:space="preserve">Singer 2004</w:t>
        </w:r>
      </w:hyperlink>
      <w:r>
        <w:t xml:space="preserve">;</w:t>
      </w:r>
      <w:r>
        <w:t xml:space="preserve"> </w:t>
      </w:r>
      <w:hyperlink w:anchor="ref-zuniga_2005_new">
        <w:r>
          <w:rPr>
            <w:rStyle w:val="Hyperlink"/>
          </w:rPr>
          <w:t xml:space="preserve">Zúñiga and Hernández-León 2005</w:t>
        </w:r>
      </w:hyperlink>
      <w:r>
        <w:t xml:space="preserve">;</w:t>
      </w:r>
      <w:r>
        <w:t xml:space="preserve"> </w:t>
      </w:r>
      <w:hyperlink w:anchor="ref-massey_2008_new">
        <w:r>
          <w:rPr>
            <w:rStyle w:val="Hyperlink"/>
          </w:rPr>
          <w:t xml:space="preserve">Massey 2008</w:t>
        </w:r>
      </w:hyperlink>
      <w:r>
        <w:t xml:space="preserve">)</w:t>
      </w:r>
      <w:r>
        <w:t xml:space="preserve">, migration to urban areas slowed and migrants relocated to rural areas and small towns in the Sun Belt and the Deep South.</w:t>
      </w:r>
      <w:r>
        <w:t xml:space="preserve"> </w:t>
      </w:r>
      <w:r>
        <w:t xml:space="preserve">Flippen and Farrell-Bryan (</w:t>
      </w:r>
      <w:hyperlink w:anchor="ref-flippen_2021_new">
        <w:r>
          <w:rPr>
            <w:rStyle w:val="Hyperlink"/>
          </w:rPr>
          <w:t xml:space="preserve">2021</w:t>
        </w:r>
      </w:hyperlink>
      <w:r>
        <w:t xml:space="preserve">)</w:t>
      </w:r>
      <w:r>
        <w:t xml:space="preserve"> </w:t>
      </w:r>
      <w:r>
        <w:t xml:space="preserve">offer three explanations for this shift. First is an economic explanation: An overabundance of workers in traditional gateways – driven in part by mass legalization in the 1990s – resulted in excess labor supply, especially in California. At the same time, manufacturing and meat processing plants relocated to lower-wage, right-to-work states that were experiencing population growth and a demand for construction</w:t>
      </w:r>
      <w:r>
        <w:t xml:space="preserve"> </w:t>
      </w:r>
      <w:r>
        <w:t xml:space="preserve">(</w:t>
      </w:r>
      <w:hyperlink w:anchor="ref-ribas_2015_line">
        <w:r>
          <w:rPr>
            <w:rStyle w:val="Hyperlink"/>
          </w:rPr>
          <w:t xml:space="preserve">Ribas 2015</w:t>
        </w:r>
      </w:hyperlink>
      <w:r>
        <w:t xml:space="preserve">)</w:t>
      </w:r>
      <w:r>
        <w:t xml:space="preserve">. Second, labor recruitment contributed to the movement of migrants from traditional areas to the new destinations, and migrant networks sustained the new migrant pathways</w:t>
      </w:r>
      <w:r>
        <w:t xml:space="preserve"> </w:t>
      </w:r>
      <w:r>
        <w:t xml:space="preserve">(</w:t>
      </w:r>
      <w:hyperlink w:anchor="ref-stuesse_2016_scratching">
        <w:r>
          <w:rPr>
            <w:rStyle w:val="Hyperlink"/>
          </w:rPr>
          <w:t xml:space="preserve">Stuesse 2016</w:t>
        </w:r>
      </w:hyperlink>
      <w:r>
        <w:t xml:space="preserve">)</w:t>
      </w:r>
      <w:r>
        <w:t xml:space="preserve">. Finally, increased immigration enforcement and hostile policies in the 1990s in border states such as California drove migrants further east</w:t>
      </w:r>
      <w:r>
        <w:t xml:space="preserve"> </w:t>
      </w:r>
      <w:r>
        <w:t xml:space="preserve">(</w:t>
      </w:r>
      <w:hyperlink w:anchor="ref-durand_2019_evolution">
        <w:r>
          <w:rPr>
            <w:rStyle w:val="Hyperlink"/>
          </w:rPr>
          <w:t xml:space="preserve">Durand and Massey 2019</w:t>
        </w:r>
      </w:hyperlink>
      <w:r>
        <w:t xml:space="preserve">)</w:t>
      </w:r>
      <w:r>
        <w:t xml:space="preserve">. Due to their lack of established migrant communities, dynamics of settlement differ in these new destinations: Comparing new and established migrant destinations,</w:t>
      </w:r>
      <w:r>
        <w:t xml:space="preserve"> </w:t>
      </w:r>
      <w:r>
        <w:t xml:space="preserve">Hall (</w:t>
      </w:r>
      <w:hyperlink w:anchor="ref-hall_2013_residential">
        <w:r>
          <w:rPr>
            <w:rStyle w:val="Hyperlink"/>
          </w:rPr>
          <w:t xml:space="preserve">2013</w:t>
        </w:r>
      </w:hyperlink>
      <w:r>
        <w:t xml:space="preserve">)</w:t>
      </w:r>
      <w:r>
        <w:t xml:space="preserve"> </w:t>
      </w:r>
      <w:r>
        <w:t xml:space="preserve">finds greater segregation in new destinations, even when controlling for other local factors and individual characteristics. If immigrants in same-sex couples are experience similar migration pressures and draws as other migrants, then we would expect their spatial patterns to fall along these lines.</w:t>
      </w:r>
    </w:p>
    <w:bookmarkEnd w:id="21"/>
    <w:bookmarkStart w:id="22" w:name="X1b871a5c4bc95916095e797e70132c420f26b57"/>
    <w:p>
      <w:pPr>
        <w:pStyle w:val="Heading2"/>
      </w:pPr>
      <w:r>
        <w:t xml:space="preserve">Distribution of Same-Sex Couples in the United States</w:t>
      </w:r>
    </w:p>
    <w:p>
      <w:pPr>
        <w:pStyle w:val="FirstParagraph"/>
      </w:pPr>
      <w:r>
        <w:t xml:space="preserve">Concerns of residential distribution, segregation, and equity have also been a prominent line of research for LGBQ populations in the U.S., generally, and same-sex couples, specifically. Similar to settlement patterns of migrants, LGBQ Americans are also influenced by the role of economic conditions. For example, those in same-sex couples are generally found to be in areas with more socioeconomic advantage, such as with more college-educated individuals, higher property values, and access to better local amenities</w:t>
      </w:r>
      <w:r>
        <w:t xml:space="preserve"> </w:t>
      </w:r>
      <w:r>
        <w:t xml:space="preserve">(</w:t>
      </w:r>
      <w:hyperlink w:anchor="ref-florida_2003_cities">
        <w:r>
          <w:rPr>
            <w:rStyle w:val="Hyperlink"/>
          </w:rPr>
          <w:t xml:space="preserve">Florida 2003</w:t>
        </w:r>
      </w:hyperlink>
      <w:r>
        <w:t xml:space="preserve">;</w:t>
      </w:r>
      <w:r>
        <w:t xml:space="preserve"> </w:t>
      </w:r>
      <w:hyperlink w:anchor="ref-black_2002_why">
        <w:r>
          <w:rPr>
            <w:rStyle w:val="Hyperlink"/>
          </w:rPr>
          <w:t xml:space="preserve">Black et al. 2002</w:t>
        </w:r>
      </w:hyperlink>
      <w:r>
        <w:t xml:space="preserve">;</w:t>
      </w:r>
      <w:r>
        <w:t xml:space="preserve"> </w:t>
      </w:r>
      <w:hyperlink w:anchor="ref-lee_2018_healthrelated">
        <w:r>
          <w:rPr>
            <w:rStyle w:val="Hyperlink"/>
          </w:rPr>
          <w:t xml:space="preserve">Lee et al. 2018</w:t>
        </w:r>
      </w:hyperlink>
      <w:r>
        <w:t xml:space="preserve">)</w:t>
      </w:r>
      <w:r>
        <w:t xml:space="preserve">. These patterns reflect same-sex couples’ somewhat higher discretionary income and ability to take advantage of local amenities and spend more on housing</w:t>
      </w:r>
      <w:r>
        <w:t xml:space="preserve"> </w:t>
      </w:r>
      <w:r>
        <w:t xml:space="preserve">(</w:t>
      </w:r>
      <w:hyperlink w:anchor="ref-black_2002_why">
        <w:r>
          <w:rPr>
            <w:rStyle w:val="Hyperlink"/>
          </w:rPr>
          <w:t xml:space="preserve">Black et al. 2002</w:t>
        </w:r>
      </w:hyperlink>
      <w:r>
        <w:t xml:space="preserve">)</w:t>
      </w:r>
      <w:r>
        <w:t xml:space="preserve">. We should note that the relative privilege of same-sex couples stands in contrast with other sections of the LGBTQ+ community – trans individuals and other queer people who do not fit into the categories of gay and lesbian experience higher levels of economic insecurity and issues of personal safety. And similar to their heterosexual counterparts, cohabiting and married couples are of higher socioeconomic status than single individuals.</w:t>
      </w:r>
    </w:p>
    <w:p>
      <w:pPr>
        <w:pStyle w:val="BodyText"/>
      </w:pPr>
      <w:r>
        <w:t xml:space="preserve">Consistent findings also highlight the role of network effects, with same-sex couples located in areas with high concentrations of other same-sex couples – similar to ethnic and migrant enclaves. Also beyond the U.S., concentration in urban settings among other LGBQ couples is typical and this effect is even stronger for single individuals compared to those in couples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r>
        <w:t xml:space="preserve">. In addition to network effects, this clustering may occur because higher concentrations help to protect same-sex couples and LGBQ individuals from violence and harassment</w:t>
      </w:r>
      <w:r>
        <w:t xml:space="preserve"> </w:t>
      </w:r>
      <w:r>
        <w:t xml:space="preserve">(</w:t>
      </w:r>
      <w:hyperlink w:anchor="ref-hayslett_2011_out">
        <w:r>
          <w:rPr>
            <w:rStyle w:val="Hyperlink"/>
          </w:rPr>
          <w:t xml:space="preserve">Hayslett and Kane 2011</w:t>
        </w:r>
      </w:hyperlink>
      <w:r>
        <w:t xml:space="preserve">;</w:t>
      </w:r>
      <w:r>
        <w:t xml:space="preserve"> </w:t>
      </w:r>
      <w:hyperlink w:anchor="ref-lee_2018_healthrelated">
        <w:r>
          <w:rPr>
            <w:rStyle w:val="Hyperlink"/>
          </w:rPr>
          <w:t xml:space="preserve">Lee et al. 2018</w:t>
        </w:r>
      </w:hyperlink>
      <w:r>
        <w:t xml:space="preserve">)</w:t>
      </w:r>
      <w:r>
        <w:t xml:space="preserve">. Because of this common concentration pattern, however, the majority of research investigating residential patterns of same-sex couples focuses on urban</w:t>
      </w:r>
      <w:r>
        <w:t xml:space="preserve"> </w:t>
      </w:r>
      <w:r>
        <w:t xml:space="preserve">“</w:t>
      </w:r>
      <w:r>
        <w:t xml:space="preserve">gayborhoods</w:t>
      </w:r>
      <w:r>
        <w:t xml:space="preserve">”</w:t>
      </w:r>
      <w:r>
        <w:t xml:space="preserve"> </w:t>
      </w:r>
      <w:r>
        <w:t xml:space="preserve">(</w:t>
      </w:r>
      <w:hyperlink w:anchor="ref-ghaziani_2016_there">
        <w:r>
          <w:rPr>
            <w:rStyle w:val="Hyperlink"/>
          </w:rPr>
          <w:t xml:space="preserve">Ghaziani 2016</w:t>
        </w:r>
      </w:hyperlink>
      <w:r>
        <w:t xml:space="preserve">;</w:t>
      </w:r>
      <w:r>
        <w:t xml:space="preserve"> </w:t>
      </w:r>
      <w:hyperlink w:anchor="ref-nash_2015_lesbians">
        <w:r>
          <w:rPr>
            <w:rStyle w:val="Hyperlink"/>
          </w:rPr>
          <w:t xml:space="preserve">Nash and Gorman-Murray 2015</w:t>
        </w:r>
      </w:hyperlink>
      <w:r>
        <w:t xml:space="preserve">)</w:t>
      </w:r>
      <w:r>
        <w:t xml:space="preserve">, including their transformation and the on-going changes in sexuality-based residential segregation</w:t>
      </w:r>
      <w:r>
        <w:t xml:space="preserve"> </w:t>
      </w:r>
      <w:r>
        <w:t xml:space="preserve">(</w:t>
      </w:r>
      <w:hyperlink w:anchor="ref-ghaziani_2016_there">
        <w:r>
          <w:rPr>
            <w:rStyle w:val="Hyperlink"/>
          </w:rPr>
          <w:t xml:space="preserve">Ghaziani 2016</w:t>
        </w:r>
      </w:hyperlink>
      <w:r>
        <w:t xml:space="preserve">;</w:t>
      </w:r>
      <w:r>
        <w:t xml:space="preserve"> </w:t>
      </w:r>
      <w:hyperlink w:anchor="ref-spring_2024_new">
        <w:r>
          <w:rPr>
            <w:rStyle w:val="Hyperlink"/>
          </w:rPr>
          <w:t xml:space="preserve">A. Spring and Ghaziani 2024</w:t>
        </w:r>
      </w:hyperlink>
      <w:r>
        <w:t xml:space="preserve">)</w:t>
      </w:r>
      <w:r>
        <w:t xml:space="preserve">. Finally, another set of studies examines the role of progressive policies such as same-sex marriage and non-discrimination protections in influencing attitudes toward migration and actual migration practices</w:t>
      </w:r>
      <w:r>
        <w:t xml:space="preserve"> </w:t>
      </w:r>
      <w:r>
        <w:t xml:space="preserve">(</w:t>
      </w:r>
      <w:hyperlink w:anchor="ref-baumle_2023_effects">
        <w:r>
          <w:rPr>
            <w:rStyle w:val="Hyperlink"/>
          </w:rPr>
          <w:t xml:space="preserve">Baumle, Miller, and Gregory 2023</w:t>
        </w:r>
      </w:hyperlink>
      <w:r>
        <w:t xml:space="preserve">)</w:t>
      </w:r>
      <w:r>
        <w:t xml:space="preserve">.</w:t>
      </w:r>
      <w:r>
        <w:t xml:space="preserve"> </w:t>
      </w:r>
      <w:r>
        <w:t xml:space="preserve">Marcén and Morales (</w:t>
      </w:r>
      <w:hyperlink w:anchor="ref-marcen_2022_effect">
        <w:r>
          <w:rPr>
            <w:rStyle w:val="Hyperlink"/>
          </w:rPr>
          <w:t xml:space="preserve">2022</w:t>
        </w:r>
      </w:hyperlink>
      <w:r>
        <w:t xml:space="preserve">)</w:t>
      </w:r>
      <w:r>
        <w:t xml:space="preserve"> </w:t>
      </w:r>
      <w:r>
        <w:t xml:space="preserve">finds that the legalization of same-sex marriage across U.S. states led to an increase in same-sex couples moving to those states, but only for men in such couples.</w:t>
      </w:r>
    </w:p>
    <w:p>
      <w:pPr>
        <w:pStyle w:val="BodyText"/>
      </w:pPr>
      <w:r>
        <w:t xml:space="preserve">Taken together, this research emphasizes same-sex couples living in urban gayborhoods with access to more progressive legal environments. But both changes in demographic trends and academic interest have shifted greater attention to LGBQ individuals and same-sex couples living beyond these particular locales. From 2000 to 2010, and continuing to 2020, the concentration of same-sex couples in segregated, urban communities has declined</w:t>
      </w:r>
      <w:r>
        <w:t xml:space="preserve"> </w:t>
      </w:r>
      <w:r>
        <w:t xml:space="preserve">(</w:t>
      </w:r>
      <w:hyperlink w:anchor="ref-spring_2013_declining">
        <w:r>
          <w:rPr>
            <w:rStyle w:val="Hyperlink"/>
          </w:rPr>
          <w:t xml:space="preserve">A. L. Spring 2013</w:t>
        </w:r>
      </w:hyperlink>
      <w:r>
        <w:t xml:space="preserve">;</w:t>
      </w:r>
      <w:r>
        <w:t xml:space="preserve"> </w:t>
      </w:r>
      <w:hyperlink w:anchor="ref-spring_2024_new">
        <w:r>
          <w:rPr>
            <w:rStyle w:val="Hyperlink"/>
          </w:rPr>
          <w:t xml:space="preserve">A. Spring and Ghaziani 2024</w:t>
        </w:r>
      </w:hyperlink>
      <w:r>
        <w:t xml:space="preserve">)</w:t>
      </w:r>
      <w:r>
        <w:t xml:space="preserve">. Current research finds that these historic gayborhoods have become gentrified, and rising costs have led many same-sex couples to move to other parts of a city or out of these urban centers altogether</w:t>
      </w:r>
      <w:r>
        <w:t xml:space="preserve"> </w:t>
      </w:r>
      <w:r>
        <w:t xml:space="preserve">(</w:t>
      </w:r>
      <w:hyperlink w:anchor="ref-spring_2021_gentrification">
        <w:r>
          <w:rPr>
            <w:rStyle w:val="Hyperlink"/>
          </w:rPr>
          <w:t xml:space="preserve">A. Spring and Charleston 2021</w:t>
        </w:r>
      </w:hyperlink>
      <w:r>
        <w:t xml:space="preserve">)</w:t>
      </w:r>
      <w:r>
        <w:t xml:space="preserve">. Others meanwhile, find that discriminatory lending practices also encourage dispersion of same-sex couples to other locations</w:t>
      </w:r>
      <w:r>
        <w:t xml:space="preserve"> </w:t>
      </w:r>
      <w:r>
        <w:t xml:space="preserve">(</w:t>
      </w:r>
      <w:hyperlink w:anchor="ref-spring_2024_new">
        <w:r>
          <w:rPr>
            <w:rStyle w:val="Hyperlink"/>
          </w:rPr>
          <w:t xml:space="preserve">A. Spring and Ghaziani 2024</w:t>
        </w:r>
      </w:hyperlink>
      <w:r>
        <w:t xml:space="preserve">)</w:t>
      </w:r>
      <w:r>
        <w:t xml:space="preserve">. Furthermore, the residential patterns of queer women have for a long time tended to be more diffuse</w:t>
      </w:r>
      <w:r>
        <w:t xml:space="preserve"> </w:t>
      </w:r>
      <w:r>
        <w:t xml:space="preserve">(</w:t>
      </w:r>
      <w:hyperlink w:anchor="ref-spring_2013_declining">
        <w:r>
          <w:rPr>
            <w:rStyle w:val="Hyperlink"/>
          </w:rPr>
          <w:t xml:space="preserve">A. L. Spring 2013</w:t>
        </w:r>
      </w:hyperlink>
      <w:r>
        <w:t xml:space="preserve">)</w:t>
      </w:r>
      <w:r>
        <w:t xml:space="preserve">. These trends underscore the argument made by</w:t>
      </w:r>
      <w:r>
        <w:t xml:space="preserve"> </w:t>
      </w:r>
      <w:r>
        <w:t xml:space="preserve">Stone (</w:t>
      </w:r>
      <w:hyperlink w:anchor="ref-stone_2018_geography">
        <w:r>
          <w:rPr>
            <w:rStyle w:val="Hyperlink"/>
          </w:rPr>
          <w:t xml:space="preserve">2018</w:t>
        </w:r>
      </w:hyperlink>
      <w:r>
        <w:t xml:space="preserve">)</w:t>
      </w:r>
      <w:r>
        <w:t xml:space="preserve">: Researchers of LGBTQ+ geography need to look beyond the</w:t>
      </w:r>
      <w:r>
        <w:t xml:space="preserve"> </w:t>
      </w:r>
      <w:r>
        <w:t xml:space="preserve">“</w:t>
      </w:r>
      <w:r>
        <w:t xml:space="preserve">great cities</w:t>
      </w:r>
      <w:r>
        <w:t xml:space="preserve">”</w:t>
      </w:r>
      <w:r>
        <w:t xml:space="preserve"> </w:t>
      </w:r>
      <w:r>
        <w:t xml:space="preserve">and toward more mid-sized cities, the South, and rural locales in order to more holistically understand LGBTQ+ geographic patterning in the U.S. Indeed, same-sex couples are increasingly represented in rural communities and states with conservative governments, which may reflect displacement out of cities or increasing acceptance and integration of these types of couples across the country</w:t>
      </w:r>
      <w:r>
        <w:t xml:space="preserve"> </w:t>
      </w:r>
      <w:r>
        <w:t xml:space="preserve">(</w:t>
      </w:r>
      <w:hyperlink w:anchor="ref-brown_2008_urban">
        <w:r>
          <w:rPr>
            <w:rStyle w:val="Hyperlink"/>
          </w:rPr>
          <w:t xml:space="preserve">Brown 2008</w:t>
        </w:r>
      </w:hyperlink>
      <w:r>
        <w:t xml:space="preserve">;</w:t>
      </w:r>
      <w:r>
        <w:t xml:space="preserve"> </w:t>
      </w:r>
      <w:hyperlink w:anchor="ref-marino_2024_visualizing">
        <w:r>
          <w:rPr>
            <w:rStyle w:val="Hyperlink"/>
          </w:rPr>
          <w:t xml:space="preserve">Marino et al. 2024</w:t>
        </w:r>
      </w:hyperlink>
      <w:r>
        <w:t xml:space="preserve">)</w:t>
      </w:r>
      <w:r>
        <w:t xml:space="preserve">.</w:t>
      </w:r>
    </w:p>
    <w:bookmarkEnd w:id="22"/>
    <w:bookmarkStart w:id="23" w:name="X838ba6d4b9d83ce4fad732aa21f1ff47f1df738"/>
    <w:p>
      <w:pPr>
        <w:pStyle w:val="Heading2"/>
      </w:pPr>
      <w:r>
        <w:t xml:space="preserve">Settlement Expectations for Immigrants in Same-Sex Couples in the United States</w:t>
      </w:r>
    </w:p>
    <w:p>
      <w:pPr>
        <w:pStyle w:val="FirstParagraph"/>
      </w:pPr>
      <w:r>
        <w:t xml:space="preserve">Although the settlement patterns of immigrants in same-sex have not previously received significant study, existing work can help motivate empirical expectations. We present three possible patterns: LGBQ migrants may live in areas similar to other migrants, in areas that other LGBQ people prefer, or areas more unique to LGBQ migrants. Existing research suggests that any of these three scenarios might hold.</w:t>
      </w:r>
    </w:p>
    <w:p>
      <w:pPr>
        <w:pStyle w:val="BodyText"/>
      </w:pPr>
      <w:r>
        <w:t xml:space="preserve">Why might LGBQ migrants live near other migrants? First, the same economic, network, and policy factors that shape migrant settlement more broadly may affect LGBQ migrants. For LGBQ migrants who follow standard migration pathways such as moving for employment or following parents or siblings who have previously migrated, they are likely to reside in areas that are similar to those of other migrants who have chosen the same channels. Second, migrants from non-Western settings or from lower socioeconomic conditions are often excluded from LGBTQ+ spaces in their countries of destination, facing barriers to their their integration into LGBTQ+ residential and social infrastructure</w:t>
      </w:r>
      <w:r>
        <w:t xml:space="preserve"> </w:t>
      </w:r>
      <w:r>
        <w:t xml:space="preserve">(</w:t>
      </w:r>
      <w:hyperlink w:anchor="ref-el-tayeb_2012_gays">
        <w:r>
          <w:rPr>
            <w:rStyle w:val="Hyperlink"/>
          </w:rPr>
          <w:t xml:space="preserve">El-Tayeb 2012</w:t>
        </w:r>
      </w:hyperlink>
      <w:r>
        <w:t xml:space="preserve">;</w:t>
      </w:r>
      <w:r>
        <w:t xml:space="preserve"> </w:t>
      </w:r>
      <w:hyperlink w:anchor="ref-dhoest_2023_intersectional">
        <w:r>
          <w:rPr>
            <w:rStyle w:val="Hyperlink"/>
          </w:rPr>
          <w:t xml:space="preserve">Dhoest and Wasserbauer 2023</w:t>
        </w:r>
      </w:hyperlink>
      <w:r>
        <w:t xml:space="preserve">)</w:t>
      </w:r>
      <w:r>
        <w:t xml:space="preserve">. For example, while</w:t>
      </w:r>
      <w:r>
        <w:t xml:space="preserve"> </w:t>
      </w:r>
      <w:r>
        <w:t xml:space="preserve">Sólveigar-Og Gumundsdóttir (</w:t>
      </w:r>
      <w:hyperlink w:anchor="Xf9b7dd7db8420619fbcb498efab32b25b6ad7e6">
        <w:r>
          <w:rPr>
            <w:rStyle w:val="Hyperlink"/>
          </w:rPr>
          <w:t xml:space="preserve">2024</w:t>
        </w:r>
      </w:hyperlink>
      <w:r>
        <w:t xml:space="preserve">)</w:t>
      </w:r>
      <w:r>
        <w:t xml:space="preserve"> </w:t>
      </w:r>
      <w:r>
        <w:t xml:space="preserve">finds privileged migrants, particularly white migrants, capable of integrating into existing LGBTQ+ spaces and patterns of social life in Iceland, LGBTQ+ migrants who are not white or of high SES do not necessarily find themselves welcome in these spaces. If this trend holds more widely, LGBQ migrants may remain in coethnic communities.</w:t>
      </w:r>
    </w:p>
    <w:p>
      <w:pPr>
        <w:pStyle w:val="BodyText"/>
      </w:pPr>
      <w:r>
        <w:t xml:space="preserve">As another possibility, why might LGBQ migrants live near U.S.-born LGBQ people? First, while existing research tends to focus on asylees and individuals seeking refuge in the U.S. and other Western countries</w:t>
      </w:r>
      <w:r>
        <w:t xml:space="preserve"> </w:t>
      </w:r>
      <w:r>
        <w:t xml:space="preserve">(</w:t>
      </w:r>
      <w:hyperlink w:anchor="ref-chossiere_2021_refugeeness">
        <w:r>
          <w:rPr>
            <w:rStyle w:val="Hyperlink"/>
          </w:rPr>
          <w:t xml:space="preserve">Chossière 2021</w:t>
        </w:r>
      </w:hyperlink>
      <w:r>
        <w:t xml:space="preserve">;</w:t>
      </w:r>
      <w:r>
        <w:t xml:space="preserve"> </w:t>
      </w:r>
      <w:hyperlink w:anchor="ref-held_2023_queer">
        <w:r>
          <w:rPr>
            <w:rStyle w:val="Hyperlink"/>
          </w:rPr>
          <w:t xml:space="preserve">Held 2023</w:t>
        </w:r>
      </w:hyperlink>
      <w:r>
        <w:t xml:space="preserve">)</w:t>
      </w:r>
      <w:r>
        <w:t xml:space="preserve">, there is evidence that the broader population of LGBQ migrants may be more privileged</w:t>
      </w:r>
      <w:r>
        <w:t xml:space="preserve"> </w:t>
      </w:r>
      <w:r>
        <w:t xml:space="preserve">(</w:t>
      </w:r>
      <w:hyperlink w:anchor="ref-hoffmann_2023_sexuality">
        <w:r>
          <w:rPr>
            <w:rStyle w:val="Hyperlink"/>
          </w:rPr>
          <w:t xml:space="preserve">Hoffmann and Velasco 2023</w:t>
        </w:r>
      </w:hyperlink>
      <w:r>
        <w:t xml:space="preserve">)</w:t>
      </w:r>
      <w:r>
        <w:t xml:space="preserve">, and we examine individual-level privilege in greater detail below. This may lead to LGBQ migrants living near U.S.-born LGBQ people because more privileged migrants tend to spatially assimilate, living in the same areas as the U.S.-born</w:t>
      </w:r>
      <w:r>
        <w:t xml:space="preserve"> </w:t>
      </w:r>
      <w:r>
        <w:t xml:space="preserve">(</w:t>
      </w:r>
      <w:hyperlink w:anchor="ref-south_2005_migration">
        <w:r>
          <w:rPr>
            <w:rStyle w:val="Hyperlink"/>
          </w:rPr>
          <w:t xml:space="preserve">South, Crowder, and Chavez 2005</w:t>
        </w:r>
      </w:hyperlink>
      <w:r>
        <w:t xml:space="preserve">;</w:t>
      </w:r>
      <w:r>
        <w:t xml:space="preserve"> </w:t>
      </w:r>
      <w:hyperlink w:anchor="ref-iceland_2008_immigrant">
        <w:r>
          <w:rPr>
            <w:rStyle w:val="Hyperlink"/>
          </w:rPr>
          <w:t xml:space="preserve">Iceland and Scopilliti 2008</w:t>
        </w:r>
      </w:hyperlink>
      <w:r>
        <w:t xml:space="preserve">)</w:t>
      </w:r>
      <w:r>
        <w:t xml:space="preserve">. Second,</w:t>
      </w:r>
      <w:r>
        <w:t xml:space="preserve"> </w:t>
      </w:r>
      <w:r>
        <w:t xml:space="preserve">Hoffmann and Velasco (</w:t>
      </w:r>
      <w:hyperlink w:anchor="ref-hoffmann_2024_policy">
        <w:r>
          <w:rPr>
            <w:rStyle w:val="Hyperlink"/>
          </w:rPr>
          <w:t xml:space="preserve">2024a</w:t>
        </w:r>
      </w:hyperlink>
      <w:r>
        <w:t xml:space="preserve">)</w:t>
      </w:r>
      <w:r>
        <w:t xml:space="preserve"> </w:t>
      </w:r>
      <w:r>
        <w:t xml:space="preserve">find that LGBQ migrants are more likely than other partnered migrants to have U.S.-citizen partners. Emergent research suggests that these U.S.-born partners help to integrate these LGBQ migrants into normative cultures of U.S. life, rather than being pulled toward immigrant communities</w:t>
      </w:r>
      <w:r>
        <w:t xml:space="preserve"> </w:t>
      </w:r>
      <w:r>
        <w:t xml:space="preserve">(</w:t>
      </w:r>
      <w:hyperlink w:anchor="ref-seo_2024_quotidian">
        <w:r>
          <w:rPr>
            <w:rStyle w:val="Hyperlink"/>
          </w:rPr>
          <w:t xml:space="preserve">Seo 2024</w:t>
        </w:r>
      </w:hyperlink>
      <w:r>
        <w:t xml:space="preserve">)</w:t>
      </w:r>
      <w:r>
        <w:t xml:space="preserve">. These dynamics may lead them to living near LGBQ Americans. Third, there is some evidence that LGBTQ+ migrants are drawn to progressive local destinations. LGBTQ+ migrants coming to Western countries such as the U.S. see cities as desirable destinations, especially as cities have come to promote themselves as inclusive of LGBTQ+ communities</w:t>
      </w:r>
      <w:r>
        <w:t xml:space="preserve"> </w:t>
      </w:r>
      <w:r>
        <w:t xml:space="preserve">(</w:t>
      </w:r>
      <w:hyperlink w:anchor="ref-binnie_2006_cosmopolitan">
        <w:r>
          <w:rPr>
            <w:rStyle w:val="Hyperlink"/>
          </w:rPr>
          <w:t xml:space="preserve">Binnie et al. 2006</w:t>
        </w:r>
      </w:hyperlink>
      <w:r>
        <w:t xml:space="preserve">;</w:t>
      </w:r>
      <w:r>
        <w:t xml:space="preserve"> </w:t>
      </w:r>
      <w:hyperlink w:anchor="ref-binnie_2014_relational">
        <w:r>
          <w:rPr>
            <w:rStyle w:val="Hyperlink"/>
          </w:rPr>
          <w:t xml:space="preserve">Binnie 2014</w:t>
        </w:r>
      </w:hyperlink>
      <w:r>
        <w:t xml:space="preserve">;</w:t>
      </w:r>
      <w:r>
        <w:t xml:space="preserve"> </w:t>
      </w:r>
      <w:hyperlink w:anchor="ref-klett-davies_2021_border">
        <w:r>
          <w:rPr>
            <w:rStyle w:val="Hyperlink"/>
          </w:rPr>
          <w:t xml:space="preserve">Klett-Davies 2021</w:t>
        </w:r>
      </w:hyperlink>
      <w:r>
        <w:t xml:space="preserve">)</w:t>
      </w:r>
      <w:r>
        <w:t xml:space="preserve">.</w:t>
      </w:r>
    </w:p>
    <w:p>
      <w:pPr>
        <w:pStyle w:val="BodyText"/>
      </w:pPr>
      <w:r>
        <w:t xml:space="preserve">Lastly, why might LGBQ migrants have residential patterns that do not reflect either their conational or U.S. counterparts? Due to their intersectional identity, LGBQ migrants may face unique forms of discrimination from the broader population.</w:t>
      </w:r>
      <w:r>
        <w:t xml:space="preserve"> </w:t>
      </w:r>
      <w:r>
        <w:t xml:space="preserve">Hoffmann and Velasco (</w:t>
      </w:r>
      <w:hyperlink w:anchor="ref-hoffmann_2024_how">
        <w:r>
          <w:rPr>
            <w:rStyle w:val="Hyperlink"/>
          </w:rPr>
          <w:t xml:space="preserve">2024b</w:t>
        </w:r>
      </w:hyperlink>
      <w:r>
        <w:t xml:space="preserve">)</w:t>
      </w:r>
      <w:r>
        <w:t xml:space="preserve"> </w:t>
      </w:r>
      <w:r>
        <w:t xml:space="preserve">show that U.S. citizens tend to see LGB migrants as less deserving of admission and less culturally similar to the U.S. than other migrants. If LGBQ migrants face unique antagonism from the U.S.-born, they may feel pushed into their own unique enclaves. Relatedly, LGBQ migrants may seek refuge from navigating the</w:t>
      </w:r>
      <w:r>
        <w:t xml:space="preserve"> </w:t>
      </w:r>
      <w:r>
        <w:t xml:space="preserve">“</w:t>
      </w:r>
      <w:r>
        <w:t xml:space="preserve">ethnic closet</w:t>
      </w:r>
      <w:r>
        <w:t xml:space="preserve">”</w:t>
      </w:r>
      <w:r>
        <w:t xml:space="preserve"> </w:t>
      </w:r>
      <w:r>
        <w:t xml:space="preserve">(</w:t>
      </w:r>
      <w:hyperlink w:anchor="ref-cui_2024_queer">
        <w:r>
          <w:rPr>
            <w:rStyle w:val="Hyperlink"/>
          </w:rPr>
          <w:t xml:space="preserve">Cui and Song 2024</w:t>
        </w:r>
      </w:hyperlink>
      <w:r>
        <w:t xml:space="preserve">)</w:t>
      </w:r>
      <w:r>
        <w:t xml:space="preserve"> </w:t>
      </w:r>
      <w:r>
        <w:t xml:space="preserve">of downplaying their ethnic or queer identity, finding the greatest comfort in areas more densely populated by other LGBQ migrants. If these migrants tend to be more socioeconomically privileged, they may have have the economic power to seek out spaces where they feel most at ease, in line with broader findings around</w:t>
      </w:r>
      <w:r>
        <w:t xml:space="preserve"> </w:t>
      </w:r>
      <w:r>
        <w:t xml:space="preserve">“</w:t>
      </w:r>
      <w:r>
        <w:t xml:space="preserve">lifestyle migration</w:t>
      </w:r>
      <w:r>
        <w:t xml:space="preserve">”</w:t>
      </w:r>
      <w:r>
        <w:t xml:space="preserve"> </w:t>
      </w:r>
      <w:r>
        <w:t xml:space="preserve">(</w:t>
      </w:r>
      <w:hyperlink w:anchor="ref-dixon_2020">
        <w:r>
          <w:rPr>
            <w:rStyle w:val="Hyperlink"/>
          </w:rPr>
          <w:t xml:space="preserve">Dixon 2020</w:t>
        </w:r>
      </w:hyperlink>
      <w:r>
        <w:t xml:space="preserve">;</w:t>
      </w:r>
      <w:r>
        <w:t xml:space="preserve"> </w:t>
      </w:r>
      <w:hyperlink w:anchor="ref-benson_2012">
        <w:r>
          <w:rPr>
            <w:rStyle w:val="Hyperlink"/>
          </w:rPr>
          <w:t xml:space="preserve">Benson and O’Reilly 2012</w:t>
        </w:r>
      </w:hyperlink>
      <w:r>
        <w:t xml:space="preserve">)</w:t>
      </w:r>
      <w:r>
        <w:t xml:space="preserve">.</w:t>
      </w:r>
    </w:p>
    <w:bookmarkEnd w:id="23"/>
    <w:bookmarkEnd w:id="24"/>
    <w:bookmarkStart w:id="29" w:name="data-and-methods"/>
    <w:p>
      <w:pPr>
        <w:pStyle w:val="Heading1"/>
      </w:pPr>
      <w:r>
        <w:t xml:space="preserve">Data and Methods</w:t>
      </w:r>
    </w:p>
    <w:p>
      <w:pPr>
        <w:pStyle w:val="FirstParagraph"/>
      </w:pPr>
      <w:r>
        <w:t xml:space="preserve">Our main source of data is the American Community Survey (ACS) for 2008 to 2023</w:t>
      </w:r>
      <w:r>
        <w:t xml:space="preserve"> </w:t>
      </w:r>
      <w:r>
        <w:t xml:space="preserve">(</w:t>
      </w:r>
      <w:hyperlink w:anchor="ref-ruggles_2024_ipums">
        <w:r>
          <w:rPr>
            <w:rStyle w:val="Hyperlink"/>
          </w:rPr>
          <w:t xml:space="preserve">Ruggles et al. 2024</w:t>
        </w:r>
      </w:hyperlink>
      <w:r>
        <w:t xml:space="preserve">)</w:t>
      </w:r>
      <w:r>
        <w:t xml:space="preserve">. We exclude data from the year 2020, when data was not of adequate quality. Each year, the ACS surveys a 1-percent representative sample of U.S. households about their education, occupation, income, family structure, immigration status, country of origin, location, and a variety of other individual and household attributes. We define a same-sex couple as two individuals of the same sex in the same household who report their relationship as</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We limit the sample to individuals ages 18 to 64, and immigrants in the sample must have migrated at age 18 or older.</w:t>
      </w:r>
    </w:p>
    <w:p>
      <w:pPr>
        <w:pStyle w:val="BodyText"/>
      </w:pPr>
      <w:r>
        <w:t xml:space="preserve">We do not focus solely on married individuals for a few reasons. First, there is an issue of data availability; until 2012, the ACS re-labeled same-sex married couples as unmarried partners, even in states where same-sex marriage was legal. Including same-sex couples coded as</w:t>
      </w:r>
      <w:r>
        <w:t xml:space="preserve"> </w:t>
      </w:r>
      <w:r>
        <w:t xml:space="preserve">“</w:t>
      </w:r>
      <w:r>
        <w:t xml:space="preserve">unmarried partners</w:t>
      </w:r>
      <w:r>
        <w:t xml:space="preserve">”</w:t>
      </w:r>
      <w:r>
        <w:t xml:space="preserve"> </w:t>
      </w:r>
      <w:r>
        <w:t xml:space="preserve">allows us to look at a broader range of years, and some of these couples may in fact have been married before 2012. Second, previous work has shown that the DOMA decision was associated with a rise in same-sex cohabitation for immigrants, regardless of whether they were married or unmarried</w:t>
      </w:r>
      <w:r>
        <w:t xml:space="preserve"> </w:t>
      </w:r>
      <w:r>
        <w:t xml:space="preserve">(</w:t>
      </w:r>
      <w:hyperlink w:anchor="ref-hoffmann_2024_policy">
        <w:r>
          <w:rPr>
            <w:rStyle w:val="Hyperlink"/>
          </w:rPr>
          <w:t xml:space="preserve">Hoffmann and Velasco 2024a</w:t>
        </w:r>
      </w:hyperlink>
      <w:r>
        <w:t xml:space="preserve">)</w:t>
      </w:r>
      <w:r>
        <w:t xml:space="preserve">. This suggests that policy around marriage had broader effects not limited to married individuals. Lastly, the end of DOMA opened a pathway to visas for fiancé(e)s (as well as spouses); however, the ACS does not capture whether unmarried partners are engaged to be married, so we cannot measure the prevalence of fiancé(e)s in the data. For these reasons, we include both married and unmarried cohabiting couples in our analyses. As part of these, we examine rates of marriage beginning in the year 2012. In the Online Appendix, we replicate Tables</w:t>
      </w:r>
      <w:r>
        <w:t xml:space="preserve"> </w:t>
      </w:r>
      <w:r>
        <w:t xml:space="preserve">1</w:t>
      </w:r>
      <w:r>
        <w:t xml:space="preserve"> </w:t>
      </w:r>
      <w:r>
        <w:t xml:space="preserve">and</w:t>
      </w:r>
      <w:r>
        <w:t xml:space="preserve"> </w:t>
      </w:r>
      <w:r>
        <w:t xml:space="preserve">2</w:t>
      </w:r>
      <w:r>
        <w:t xml:space="preserve"> </w:t>
      </w:r>
      <w:r>
        <w:t xml:space="preserve">with the samples restricted to only married couples, using only data from 2012 onward. Descriptive statistics are very similar to those for the broader sample that includes cohabiting couples.</w:t>
      </w:r>
    </w:p>
    <w:p>
      <w:pPr>
        <w:pStyle w:val="BodyText"/>
      </w:pPr>
      <w:r>
        <w:t xml:space="preserve">We consider the spatial distribution of three groups: immigrants in same-sex couples (unweighted</w:t>
      </w:r>
      <w:r>
        <w:t xml:space="preserve"> </w:t>
      </w:r>
      <m:oMath>
        <m:r>
          <m:t>N</m:t>
        </m:r>
      </m:oMath>
      <w:r>
        <w:t xml:space="preserve"> </w:t>
      </w:r>
      <w:r>
        <w:t xml:space="preserve">= 15,014), immigrants in different-sex couples (</w:t>
      </w:r>
      <m:oMath>
        <m:r>
          <m:t>N</m:t>
        </m:r>
      </m:oMath>
      <w:r>
        <w:t xml:space="preserve"> </w:t>
      </w:r>
      <w:r>
        <w:t xml:space="preserve">= 1,700,411), and individuals in same-sex couples where neither individual is an immigrant (</w:t>
      </w:r>
      <m:oMath>
        <m:r>
          <m:t>N</m:t>
        </m:r>
      </m:oMath>
      <w:r>
        <w:t xml:space="preserve"> </w:t>
      </w:r>
      <w:r>
        <w:t xml:space="preserve">= 191,085). The weighted sample is equivalent to 209 million individuals over the 15 years of data.</w:t>
      </w:r>
    </w:p>
    <w:p>
      <w:pPr>
        <w:pStyle w:val="BodyText"/>
      </w:pPr>
      <w:r>
        <w:t xml:space="preserve">We use</w:t>
      </w:r>
      <w:r>
        <w:t xml:space="preserve"> </w:t>
      </w:r>
      <w:r>
        <w:t xml:space="preserve">“</w:t>
      </w:r>
      <w:r>
        <w:t xml:space="preserve">LGBQ</w:t>
      </w:r>
      <w:r>
        <w:t xml:space="preserve">”</w:t>
      </w:r>
      <w:r>
        <w:t xml:space="preserve"> </w:t>
      </w:r>
      <w:r>
        <w:t xml:space="preserve">to refer to all individuals who may be in romantic relationships with members of the same sex, although we recognize that some individuals in same-sex relationships may not identify as lesbian, gay, bisexual, or queer. We also recognize that we are not able to identify bisexual (or pansexual, multisexual, etc.) individuals cohabiting with different-sex partners. Furthermore, measuring the prevalence of same-sex couples in the U.S. is difficult</w:t>
      </w:r>
      <w:r>
        <w:t xml:space="preserve"> </w:t>
      </w:r>
      <w:r>
        <w:t xml:space="preserve">(</w:t>
      </w:r>
      <w:hyperlink w:anchor="ref-michaels_2013">
        <w:r>
          <w:rPr>
            <w:rStyle w:val="Hyperlink"/>
          </w:rPr>
          <w:t xml:space="preserve">Michaels 2013</w:t>
        </w:r>
      </w:hyperlink>
      <w:r>
        <w:t xml:space="preserve">)</w:t>
      </w:r>
      <w:r>
        <w:t xml:space="preserve">. As in most nationally representative demographic work on same-sex couples</w:t>
      </w:r>
      <w:r>
        <w:t xml:space="preserve"> </w:t>
      </w:r>
      <w:r>
        <w:t xml:space="preserve">(</w:t>
      </w:r>
      <w:hyperlink w:anchor="ref-baumle_2013">
        <w:r>
          <w:rPr>
            <w:rStyle w:val="Hyperlink"/>
          </w:rPr>
          <w:t xml:space="preserve">Baumle 2013</w:t>
        </w:r>
      </w:hyperlink>
      <w:r>
        <w:t xml:space="preserve">;</w:t>
      </w:r>
      <w:r>
        <w:t xml:space="preserve"> </w:t>
      </w:r>
      <w:hyperlink w:anchor="ref-baumle_2019">
        <w:r>
          <w:rPr>
            <w:rStyle w:val="Hyperlink"/>
          </w:rPr>
          <w:t xml:space="preserve">Baumle and Dreon 2019</w:t>
        </w:r>
      </w:hyperlink>
      <w:r>
        <w:t xml:space="preserve">)</w:t>
      </w:r>
      <w:r>
        <w:t xml:space="preserve">, we are able to identify only LGBQ couples that cohabit; unpartnered LGBQ individuals and those who do not live with their partner are not included in the analysis</w:t>
      </w:r>
      <w:r>
        <w:t xml:space="preserve"> </w:t>
      </w:r>
      <w:r>
        <w:t xml:space="preserve">(</w:t>
      </w:r>
      <w:hyperlink w:anchor="ref-baumle_2009">
        <w:r>
          <w:rPr>
            <w:rStyle w:val="Hyperlink"/>
          </w:rPr>
          <w:t xml:space="preserve">Baumle, Compton, and Poston 2009, 6</w:t>
        </w:r>
      </w:hyperlink>
      <w:r>
        <w:t xml:space="preserve">)</w:t>
      </w:r>
      <w:r>
        <w:t xml:space="preserve">. In addition, LGBQ individuals who do not feel comfortable with the</w:t>
      </w:r>
      <w:r>
        <w:t xml:space="preserve"> </w:t>
      </w:r>
      <w:r>
        <w:t xml:space="preserve">“</w:t>
      </w:r>
      <w:r>
        <w:t xml:space="preserve">spouse</w:t>
      </w:r>
      <w:r>
        <w:t xml:space="preserve">”</w:t>
      </w:r>
      <w:r>
        <w:t xml:space="preserve"> </w:t>
      </w:r>
      <w:r>
        <w:t xml:space="preserve">or</w:t>
      </w:r>
      <w:r>
        <w:t xml:space="preserve"> </w:t>
      </w:r>
      <w:r>
        <w:t xml:space="preserve">“</w:t>
      </w:r>
      <w:r>
        <w:t xml:space="preserve">unmarried partner</w:t>
      </w:r>
      <w:r>
        <w:t xml:space="preserve">”</w:t>
      </w:r>
      <w:r>
        <w:t xml:space="preserve"> </w:t>
      </w:r>
      <w:r>
        <w:t xml:space="preserve">labels of the ACS are not in the sample. There may also be some issues with measurement error: Misreporting may result when different-sex couples accidentally misspecify the gender of one of the partners</w:t>
      </w:r>
      <w:r>
        <w:t xml:space="preserve"> </w:t>
      </w:r>
      <w:r>
        <w:t xml:space="preserve">(</w:t>
      </w:r>
      <w:hyperlink w:anchor="ref-gates_2009">
        <w:r>
          <w:rPr>
            <w:rStyle w:val="Hyperlink"/>
          </w:rPr>
          <w:t xml:space="preserve">Gates and Steinberger 2009</w:t>
        </w:r>
      </w:hyperlink>
      <w:r>
        <w:t xml:space="preserve">;</w:t>
      </w:r>
      <w:r>
        <w:t xml:space="preserve"> </w:t>
      </w:r>
      <w:hyperlink w:anchor="ref-goodnature_2021">
        <w:r>
          <w:rPr>
            <w:rStyle w:val="Hyperlink"/>
          </w:rPr>
          <w:t xml:space="preserve">Goodnature and Neto 2021</w:t>
        </w:r>
      </w:hyperlink>
      <w:r>
        <w:t xml:space="preserve">)</w:t>
      </w:r>
      <w:r>
        <w:t xml:space="preserve">. Beginning in 2008, the Census Bureau made changes to ACS gender and partnership questions in order to prevent such errors</w:t>
      </w:r>
      <w:r>
        <w:t xml:space="preserve"> </w:t>
      </w:r>
      <w:r>
        <w:t xml:space="preserve">(</w:t>
      </w:r>
      <w:hyperlink w:anchor="ref-u.s.censusbureau_2013">
        <w:r>
          <w:rPr>
            <w:rStyle w:val="Hyperlink"/>
          </w:rPr>
          <w:t xml:space="preserve">U.S. Census Bureau 2013</w:t>
        </w:r>
      </w:hyperlink>
      <w:r>
        <w:t xml:space="preserve">)</w:t>
      </w:r>
      <w:r>
        <w:t xml:space="preserve">, so we rely on data only from 2008 onward, but difficulties remain. If even a small number of different-sex couples misreport one partner’s sex, the counts of same-sex couples will be inflated. Following</w:t>
      </w:r>
      <w:r>
        <w:t xml:space="preserve"> </w:t>
      </w:r>
      <w:r>
        <w:t xml:space="preserve">Gates and Steinberger (</w:t>
      </w:r>
      <w:hyperlink w:anchor="ref-gates_2009">
        <w:r>
          <w:rPr>
            <w:rStyle w:val="Hyperlink"/>
          </w:rPr>
          <w:t xml:space="preserve">2009</w:t>
        </w:r>
      </w:hyperlink>
      <w:r>
        <w:t xml:space="preserve">)</w:t>
      </w:r>
      <w:r>
        <w:t xml:space="preserve">, we remove all respondents that had either their relationship or sex variable allocated by the Census Bureau. This is the strategy used by most studies of same-sex couples in the ACS</w:t>
      </w:r>
      <w:r>
        <w:t xml:space="preserve"> </w:t>
      </w:r>
      <w:r>
        <w:t xml:space="preserve">(e.g.</w:t>
      </w:r>
      <w:r>
        <w:t xml:space="preserve"> </w:t>
      </w:r>
      <w:hyperlink w:anchor="ref-boertien_2019">
        <w:r>
          <w:rPr>
            <w:rStyle w:val="Hyperlink"/>
          </w:rPr>
          <w:t xml:space="preserve">Boertien and Vignoli 2019</w:t>
        </w:r>
      </w:hyperlink>
      <w:r>
        <w:t xml:space="preserve">;</w:t>
      </w:r>
      <w:r>
        <w:t xml:space="preserve"> </w:t>
      </w:r>
      <w:hyperlink w:anchor="ref-gates_2013">
        <w:r>
          <w:rPr>
            <w:rStyle w:val="Hyperlink"/>
          </w:rPr>
          <w:t xml:space="preserve">Gates 2013</w:t>
        </w:r>
      </w:hyperlink>
      <w:r>
        <w:t xml:space="preserve">;</w:t>
      </w:r>
      <w:r>
        <w:t xml:space="preserve"> </w:t>
      </w:r>
      <w:hyperlink w:anchor="ref-goldberg_2021">
        <w:r>
          <w:rPr>
            <w:rStyle w:val="Hyperlink"/>
          </w:rPr>
          <w:t xml:space="preserve">Goldberg and Conron 2021</w:t>
        </w:r>
      </w:hyperlink>
      <w:r>
        <w:t xml:space="preserve">;</w:t>
      </w:r>
      <w:r>
        <w:t xml:space="preserve"> </w:t>
      </w:r>
      <w:hyperlink w:anchor="ref-christafore_2019">
        <w:r>
          <w:rPr>
            <w:rStyle w:val="Hyperlink"/>
          </w:rPr>
          <w:t xml:space="preserve">Christafore and Leguizamon 2019</w:t>
        </w:r>
      </w:hyperlink>
      <w:r>
        <w:t xml:space="preserve">;</w:t>
      </w:r>
      <w:r>
        <w:t xml:space="preserve"> </w:t>
      </w:r>
      <w:hyperlink w:anchor="ref-martell_2020">
        <w:r>
          <w:rPr>
            <w:rStyle w:val="Hyperlink"/>
          </w:rPr>
          <w:t xml:space="preserve">Martell and Nash 2020</w:t>
        </w:r>
      </w:hyperlink>
      <w:r>
        <w:t xml:space="preserve">)</w:t>
      </w:r>
      <w:r>
        <w:t xml:space="preserve">.</w:t>
      </w:r>
    </w:p>
    <w:p>
      <w:pPr>
        <w:pStyle w:val="BodyText"/>
      </w:pPr>
      <w:r>
        <w:t xml:space="preserve">Most of our variables come from the ACS. To place our geographic investigations in context, we rely on some individual-level variables. These include annual gross income (in thousands of 2023 U.S. dollars), education (with categories for being a high school or four-year college graduate), the Hauser-Warren Socioeconomic Index for occupational prestige</w:t>
      </w:r>
      <w:r>
        <w:t xml:space="preserve"> </w:t>
      </w:r>
      <w:r>
        <w:t xml:space="preserve">(HWSEI,</w:t>
      </w:r>
      <w:r>
        <w:t xml:space="preserve"> </w:t>
      </w:r>
      <w:hyperlink w:anchor="ref-hauser_1997_socioeconomic">
        <w:r>
          <w:rPr>
            <w:rStyle w:val="Hyperlink"/>
          </w:rPr>
          <w:t xml:space="preserve">Hauser and Warren 1997</w:t>
        </w:r>
      </w:hyperlink>
      <w:r>
        <w:t xml:space="preserve">)</w:t>
      </w:r>
      <w:r>
        <w:t xml:space="preserve">, the number of the respondent’s own children in the household, race and ethnicity (with categories for non-Hispanic White and Black, Hispanic, Asian, and Multiraical or Other), age, and two-category sex.</w:t>
      </w:r>
      <w:r>
        <w:rPr>
          <w:rStyle w:val="FootnoteReference"/>
        </w:rPr>
        <w:footnoteReference w:id="25"/>
      </w:r>
    </w:p>
    <w:p>
      <w:pPr>
        <w:pStyle w:val="BodyText"/>
      </w:pPr>
      <w:r>
        <w:t xml:space="preserve">For geographic variables, we calculate their values at the level of the Public Use Microdata Area (PUMA), a geographic unit of analysis that covers a population of at least 100,000 and does not cross state lines. PUMAs partition the entirety of the United States. We consider a variety of variables at the PUMA level in the ACS. First are variables relevant to economic considerations; neoclassical economic theory suggests that immigrants choose to settle in areas with greater economic opportunities. We expect that people want to live in places with better job opportunities, as long as the cost of living is not too high. We include the percentage of individuals in the PUMA who hold at least a bachelor’s degree and who are unemployed. We also consider the mean PUMA-level values of personal income, Hauser-Warren occupational prestige score, and value of home (in thousands of 2023 dollars)</w:t>
      </w:r>
      <w:r>
        <w:rPr>
          <w:rStyle w:val="FootnoteReference"/>
        </w:rPr>
        <w:footnoteReference w:id="26"/>
      </w:r>
      <w:r>
        <w:t xml:space="preserve">.</w:t>
      </w:r>
    </w:p>
    <w:p>
      <w:pPr>
        <w:pStyle w:val="BodyText"/>
      </w:pPr>
      <w:r>
        <w:t xml:space="preserve">Second, we consider variables relevant to social considerations. Based on theories of immigrant networks and the migration industry, we expect the immigrants will want to live near other immigrants and with organizations that ease migration. Individuals may also take other social aspects into consideration, such as racial composition and density. From the ACS, we calculate the percentage of individuals in the PUMA who are immigrants (born outside the U.S.), who identify as Black, and who identify as Hispanic. We also use a measure from the ACS of the density of the PUMA in persons per square mile.</w:t>
      </w:r>
    </w:p>
    <w:p>
      <w:pPr>
        <w:pStyle w:val="BodyText"/>
      </w:pPr>
      <w:r>
        <w:t xml:space="preserve">We also use social data from two other sources. First, to examine LGBQ policies at state of destination, we use original datasets. We predict that LGBQ migrants will prefer to live in states with more progressive LGBQ policy. To create the U.S. state policy index, we compile data from the Movement Advancement Project</w:t>
      </w:r>
      <w:r>
        <w:rPr>
          <w:rStyle w:val="FootnoteReference"/>
        </w:rPr>
        <w:footnoteReference w:id="27"/>
      </w:r>
      <w:r>
        <w:t xml:space="preserve">, a leading LGBQ organization in the U.S. that collects data on a number of relevant policies. A higher score represents more progress state-level policies. Progressive policies include full marriage equality, state recognition of civil unions and domestic partnerships, ban on all employment and housing discrimination based on sexual orientation, hate crime protections based on sexual orientation, legal joint adoption by same-sex couples, and a ban on conversation therapy for minors. For regressive policies, we consider criminalization of sodomy, state constitutional bans of marriage equality, religious freedom exemptions to discriminate against same-sex couples in adoption, and state-level bans on local non-discrimination ordinances encompassing sexual orientation. Due to data unavailability at the time of writing, we use 2019 values for 2021 to 2023. The state index ranges from -2 to 7, and the mean state policy score in this time period is 3.4.</w:t>
      </w:r>
    </w:p>
    <w:p>
      <w:pPr>
        <w:pStyle w:val="BodyText"/>
      </w:pPr>
      <w:r>
        <w:t xml:space="preserve">Our second outside data source is a measure of the prevalence of LGBTQ+ and immigrant-serving nonprofits in a given PUMA. We expect that LGBQ migrants will choose to live in areas with more LGBTQ+-serving nonprofits, and we expect that migrants more broadly will prefer to live in areas with more immigrant-serving nonprofits. These data come from the Internal Revenue Service’s Business Master File (BMF). The BMF collects basic, administrative data on all tax-exempt entities required to submit a Form 990 annually. For our purposes, we restrict our sample to just 501c(3) charitable organizations. Additionally, the IRS assigns each organization an activity code from the National Taxonomy of Exempt Entities (NTEE). These NTEE codes help designate whether an organization is focused on</w:t>
      </w:r>
      <w:r>
        <w:t xml:space="preserve"> </w:t>
      </w:r>
      <w:r>
        <w:t xml:space="preserve">“</w:t>
      </w:r>
      <w:r>
        <w:t xml:space="preserve">Arts &amp; Culture</w:t>
      </w:r>
      <w:r>
        <w:t xml:space="preserve">”</w:t>
      </w:r>
      <w:r>
        <w:t xml:space="preserve"> </w:t>
      </w:r>
      <w:r>
        <w:t xml:space="preserve">(code: A20) or</w:t>
      </w:r>
      <w:r>
        <w:t xml:space="preserve"> </w:t>
      </w:r>
      <w:r>
        <w:t xml:space="preserve">“</w:t>
      </w:r>
      <w:r>
        <w:t xml:space="preserve">Homeless Shelters</w:t>
      </w:r>
      <w:r>
        <w:t xml:space="preserve">”</w:t>
      </w:r>
      <w:r>
        <w:t xml:space="preserve"> </w:t>
      </w:r>
      <w:r>
        <w:t xml:space="preserve">(code: L82). We classify nonprofits with NTEE codes</w:t>
      </w:r>
      <w:r>
        <w:t xml:space="preserve"> </w:t>
      </w:r>
      <w:r>
        <w:t xml:space="preserve">“</w:t>
      </w:r>
      <w:r>
        <w:t xml:space="preserve">Ethnic &amp; Immigrant Centers (code: P84) and</w:t>
      </w:r>
      <w:r>
        <w:t xml:space="preserve">”</w:t>
      </w:r>
      <w:r>
        <w:t xml:space="preserve">Immigrant Rights” (code: R21) as immigrant serving. While LGBTQ+ nonprofits are those designed as</w:t>
      </w:r>
      <w:r>
        <w:t xml:space="preserve"> </w:t>
      </w:r>
      <w:r>
        <w:t xml:space="preserve">“</w:t>
      </w:r>
      <w:r>
        <w:t xml:space="preserve">LGBT Centers</w:t>
      </w:r>
      <w:r>
        <w:t xml:space="preserve">”</w:t>
      </w:r>
      <w:r>
        <w:t xml:space="preserve"> </w:t>
      </w:r>
      <w:r>
        <w:t xml:space="preserve">(code: P88) and</w:t>
      </w:r>
      <w:r>
        <w:t xml:space="preserve"> </w:t>
      </w:r>
      <w:r>
        <w:t xml:space="preserve">“</w:t>
      </w:r>
      <w:r>
        <w:t xml:space="preserve">Lesbian &amp; Gay Rights</w:t>
      </w:r>
      <w:r>
        <w:t xml:space="preserve">”</w:t>
      </w:r>
      <w:r>
        <w:t xml:space="preserve"> </w:t>
      </w:r>
      <w:r>
        <w:t xml:space="preserve">(code: R26). We additionally supplement our classification of LGBTQ+ nonprofits with those used by</w:t>
      </w:r>
      <w:r>
        <w:t xml:space="preserve"> </w:t>
      </w:r>
      <w:r>
        <w:t xml:space="preserve">Velasco and Paxton (</w:t>
      </w:r>
      <w:hyperlink w:anchor="ref-velasco_2022_deconstructed">
        <w:r>
          <w:rPr>
            <w:rStyle w:val="Hyperlink"/>
          </w:rPr>
          <w:t xml:space="preserve">2022</w:t>
        </w:r>
      </w:hyperlink>
      <w:r>
        <w:t xml:space="preserve">)</w:t>
      </w:r>
      <w:r>
        <w:t xml:space="preserve">, who found LGBTQ+ nonprofits operating under other classification designations. To calculate a PUMA-level measure of these nonprofits, we use their ZIP code to approximate the number of nonprofits in a PUMA in a given year. Data for this variable are available only through 2021.</w:t>
      </w:r>
    </w:p>
    <w:p>
      <w:pPr>
        <w:pStyle w:val="BodyText"/>
      </w:pPr>
      <w:r>
        <w:t xml:space="preserve">Our analyses are descriptive, presenting and comparing the contours of the populations of immigrants in same-sex couples, immigrants in different-sex couples, and U.S.-born in same-sex couples. We present descriptive tables, graphs showing change in variables over time, and maps showing the geographic distribution of LGBQ migrants.</w:t>
      </w:r>
    </w:p>
    <w:bookmarkEnd w:id="29"/>
    <w:bookmarkStart w:id="32" w:name="results"/>
    <w:p>
      <w:pPr>
        <w:pStyle w:val="Heading1"/>
      </w:pPr>
      <w:r>
        <w:t xml:space="preserve">Results</w:t>
      </w:r>
    </w:p>
    <w:bookmarkStart w:id="30" w:name="individual-characteristics"/>
    <w:p>
      <w:pPr>
        <w:pStyle w:val="Heading2"/>
      </w:pPr>
      <w:r>
        <w:t xml:space="preserve">Individual Characteristics</w:t>
      </w:r>
    </w:p>
    <w:p>
      <w:pPr>
        <w:pStyle w:val="FirstParagraph"/>
      </w:pPr>
      <w:r>
        <w:t xml:space="preserve">Table</w:t>
      </w:r>
      <w:r>
        <w:t xml:space="preserve"> </w:t>
      </w:r>
      <w:r>
        <w:t xml:space="preserve">1</w:t>
      </w:r>
      <w:r>
        <w:t xml:space="preserve"> </w:t>
      </w:r>
      <w:r>
        <w:t xml:space="preserve">presents means of individual variables for immigrants in different-sex couples, immigrants in same-sex couples, and U.S.-born individuals in same-sex couples, while Figure</w:t>
      </w:r>
      <w:r>
        <w:t xml:space="preserve"> </w:t>
      </w:r>
      <w:r>
        <w:t xml:space="preserve">1</w:t>
      </w:r>
      <w:r>
        <w:t xml:space="preserve"> </w:t>
      </w:r>
      <w:r>
        <w:t xml:space="preserve">shows how the group means of these variables change over time. Beginning with socioeconomic characteristics, individuals in same-sex couples – regardless of nativity – are generally more advantaged than immigrants in different-sex couples. This is true for annual income, occupational prestige score, high school completion, or college completion. Income and occupational prestige are nearly indistinguishable between the two groups of LGBQ individuals. Interestingly, compared to U.S.-born LGBQ individuals, LGBQ immigrants have lower rates of high school completion but higher rates of college completion. This implies a bimodal distribution: LGBQ immigrants consist of individuals with high education and those with relatively little education.</w:t>
      </w:r>
    </w:p>
    <w:p>
      <w:pPr>
        <w:pStyle w:val="BodyText"/>
      </w:pPr>
      <w:r>
        <w:t xml:space="preserve">LGBQ individuals in general are much less likely than heterosexual ones to have children. However, before 2015, LGBQ immigrants were more likely to have children than the LGBQ U.S.-born. Children of LGBQ people tend to be from previous heterosexual relationships, which may have been more likely for LGBQ immigrants in the past. In recent years both LGBQ groups are equally likely to have children, at about 20 percent. Marriage is one variable with distinct values for each group. Cohabiting immigrants in different-sex couples are very likely to married, at over 90 percent. LGBQ U.S.-born individuals have relatively low marriage rates, at a little under 50 percent. LGBQ immigrants lie somewhere between these two groups, at about 70 percent married. This higher proportion may reflect the additional benefits that that immigrants receive from marriage to a U.S. resident or citizen, notably visas, residency, and a path to citizenship</w:t>
      </w:r>
      <w:r>
        <w:t xml:space="preserve"> </w:t>
      </w:r>
      <w:r>
        <w:t xml:space="preserve">(</w:t>
      </w:r>
      <w:hyperlink w:anchor="ref-hoffmann_2024_policy">
        <w:r>
          <w:rPr>
            <w:rStyle w:val="Hyperlink"/>
          </w:rPr>
          <w:t xml:space="preserve">Hoffmann and Velasco 2024a</w:t>
        </w:r>
      </w:hyperlink>
      <w:r>
        <w:t xml:space="preserve">)</w:t>
      </w:r>
      <w:r>
        <w:t xml:space="preserve">.</w:t>
      </w:r>
    </w:p>
    <w:p>
      <w:pPr>
        <w:pStyle w:val="BodyText"/>
      </w:pPr>
      <w:r>
        <w:t xml:space="preserve">Turning to identity characteristics, immigrants in same-sex couples are more likely to be White than those in different sex couples (28 compared to 19 percent), but much less likely to be white than the U.S.-born in same-sex couples (77 percent). Proportions of Black and Hispanic LGBQ immigrants are similar to those for heterosexual immigrants, but the proportion Asian is lower (23 percent for LGBQ compared to 31 percent for heterosexuals). LGBQ individuals are slightly younger than heterosexual immigrants here. As for sex, while there are slightly more women than men among heterosexual immigrants and the LGBQ U.S.-born, there are nearly twice as many men as women among LGBQ migrants.</w:t>
      </w:r>
    </w:p>
    <w:bookmarkEnd w:id="30"/>
    <w:bookmarkStart w:id="31" w:name="geographic-characteristics"/>
    <w:p>
      <w:pPr>
        <w:pStyle w:val="Heading2"/>
      </w:pPr>
      <w:r>
        <w:t xml:space="preserve">Geographic Characteristics</w:t>
      </w:r>
    </w:p>
    <w:p>
      <w:pPr>
        <w:pStyle w:val="FirstParagraph"/>
      </w:pPr>
      <w:r>
        <w:t xml:space="preserve">To show broadly how the geography of immigrants in same-sex couples has changed over the past 15 years, Figure</w:t>
      </w:r>
      <w:r>
        <w:t xml:space="preserve"> </w:t>
      </w:r>
      <w:r>
        <w:t xml:space="preserve">2</w:t>
      </w:r>
      <w:r>
        <w:t xml:space="preserve"> </w:t>
      </w:r>
      <w:r>
        <w:t xml:space="preserve">presents the percentage coupled immigrants in each state who are in same-sex couples and how these figures have changed over time. The figure shows maps for three time periods: 2008-2012, 2013-2017, and 2018-2023. Most states had greater proportions of immigrants in same-sex couples in 2023 than in 2008. In addition, the pattern of growth is meaningful. Shortly after the end of the Defense of Marriage Act in 2013 – when U.S. citizens and permanent residents could finally sponsor the visa of a same-sex partner – their growth was concentrated in the Northeast, where states were relatively early adopters of same-sex marriage, including Massachusetts (2004), Connecticut (2008), Vermont (2009), New Hampshire (2010), New York (2011), Maine (2012), and Maryland (2013). However, in the next period (2018-2023), more of the map shows higher percentages of immigrants in same-sex couples, including more relatively conservative states.</w:t>
      </w:r>
    </w:p>
    <w:p>
      <w:pPr>
        <w:pStyle w:val="BodyText"/>
      </w:pPr>
      <w:r>
        <w:t xml:space="preserve">In the Appendix, we present maps of subgroup distributions. Aggregating all of our years of data, these maps show the percentage of immigrants in same-sex couples in a given state who belong to four types of subgroups: race and ethnicity, sex, whether they have children, and whether they are married (rather than also including unmarried partners). Higher proportions of LGBQ immigrants with children live in the Midwest than the coasts. States close to the Mexican border have higher proportions of LGBQ migrants who are Hispanic, while those in the Midwest and East have somewhat higher proportions that are Asian. Marriage and sex do not seem to be strongly structured by geography.</w:t>
      </w:r>
    </w:p>
    <w:p>
      <w:pPr>
        <w:pStyle w:val="BodyText"/>
      </w:pPr>
      <w:r>
        <w:t xml:space="preserve">Table</w:t>
      </w:r>
      <w:r>
        <w:t xml:space="preserve"> </w:t>
      </w:r>
      <w:r>
        <w:t xml:space="preserve">2</w:t>
      </w:r>
      <w:r>
        <w:t xml:space="preserve"> </w:t>
      </w:r>
      <w:r>
        <w:t xml:space="preserve">presents descriptive statistics for PUMA-level characteristics, separated by the three groups of interest: immigrants in different-sex couples, immigrants in same-sex couples, and non-immigrants partnered with same-sex non-immigrants. In the table, all variables are averaged over the full range of survey years. In some ways, immigrants in same-sex couples tend to be more similar to immigrants in different-sex couples than non-immigrants in same-sex couples. For example, immigrants in same- and different-sex couples live in areas with similar proportions of immigrants and Hispanic people. However, immigrants in same-sex couples live in areas with somewhat greater advantage than the other two groups. They live in areas with higher incomes and higher occupational prestige, and the home and rent prices of their areas are somewhat higher than those of immigrants more broadly. They also live in denser areas.</w:t>
      </w:r>
    </w:p>
    <w:p>
      <w:pPr>
        <w:pStyle w:val="BodyText"/>
      </w:pPr>
      <w:r>
        <w:t xml:space="preserve">Clear differences also arise around two variables relevant to LGBTQ+ people. First, although all three groups tend to live in relatively progressive states with a score of at least 3 – representing at least three progressive state policies – immigrants in same-sex couples live in states with an average score of nearly 4. Also notable are differences around the number of LGBT nonprofits. On average, immigrants in same-sex couples live in PUMAs with 1.3 LGBT nonprofits, while LGBQ non-immigrants live in PUMAs with 0.8 and immigrants in different-sex couples with 0.3. They also live in areas with somewhat more immigrant nonprofits, with an average of 1.1. Surprisingly, the number of immigrant nonprofits for the average immigrant in a different-sex couple and average non-immigrant in a same sex couple are quite similar, at about 0.9.</w:t>
      </w:r>
    </w:p>
    <w:p>
      <w:pPr>
        <w:pStyle w:val="BodyText"/>
      </w:pPr>
      <w:r>
        <w:t xml:space="preserve">Figure</w:t>
      </w:r>
      <w:r>
        <w:t xml:space="preserve"> </w:t>
      </w:r>
      <w:r>
        <w:t xml:space="preserve">3</w:t>
      </w:r>
      <w:r>
        <w:t xml:space="preserve"> </w:t>
      </w:r>
      <w:r>
        <w:t xml:space="preserve">shows how these differences are fairly stable over time. Arguably, the gap in residential characteristics between LGBQ and heterosexual migrants has slightly narrowed over time, with heterosexual migrants somewhat catching up in recent years to the advantaged geographic characteristics enjoyed by LGBQ migrants.</w:t>
      </w:r>
    </w:p>
    <w:bookmarkEnd w:id="31"/>
    <w:bookmarkEnd w:id="32"/>
    <w:bookmarkStart w:id="33" w:name="discussion-and-conclusion"/>
    <w:p>
      <w:pPr>
        <w:pStyle w:val="Heading1"/>
      </w:pPr>
      <w:r>
        <w:t xml:space="preserve">Discussion and Conclusion</w:t>
      </w:r>
    </w:p>
    <w:p>
      <w:pPr>
        <w:pStyle w:val="FirstParagraph"/>
      </w:pPr>
      <w:r>
        <w:t xml:space="preserve">In 2013, the U.S. Supreme Court overturned the Defense of Marriage Act and required the federal government to begin recognizing marriages between same-sex spouses. Once immigrants in same-sex couples had access to spousal and fiancé(e) visas, their numbers increased rapidly</w:t>
      </w:r>
      <w:r>
        <w:t xml:space="preserve"> </w:t>
      </w:r>
      <w:r>
        <w:t xml:space="preserve">(</w:t>
      </w:r>
      <w:hyperlink w:anchor="ref-hoffmann_2024_policy">
        <w:r>
          <w:rPr>
            <w:rStyle w:val="Hyperlink"/>
          </w:rPr>
          <w:t xml:space="preserve">Hoffmann and Velasco 2024a</w:t>
        </w:r>
      </w:hyperlink>
      <w:r>
        <w:t xml:space="preserve">)</w:t>
      </w:r>
      <w:r>
        <w:t xml:space="preserve">. Where have these immigrants settled? Investigating this question is important given the strong connection between residential distribution and a variety of important demographic and social outcomes such as health and well-being, exposure to environmental and social hazards, access to quality of education, and social integration.</w:t>
      </w:r>
    </w:p>
    <w:p>
      <w:pPr>
        <w:pStyle w:val="BodyText"/>
      </w:pPr>
      <w:r>
        <w:t xml:space="preserve">First, we find that immigrants in same-sex couples are increasing their geographic distribution across the United States from 2008 to 2023 and increasingly live in a variety of states and geographic areas outside of particular cities. These trends mimic findings by</w:t>
      </w:r>
      <w:r>
        <w:t xml:space="preserve"> </w:t>
      </w:r>
      <w:r>
        <w:t xml:space="preserve">Marino et al. (</w:t>
      </w:r>
      <w:hyperlink w:anchor="ref-marino_2024_visualizing">
        <w:r>
          <w:rPr>
            <w:rStyle w:val="Hyperlink"/>
          </w:rPr>
          <w:t xml:space="preserve">2024</w:t>
        </w:r>
      </w:hyperlink>
      <w:r>
        <w:t xml:space="preserve">)</w:t>
      </w:r>
      <w:r>
        <w:t xml:space="preserve"> </w:t>
      </w:r>
      <w:r>
        <w:t xml:space="preserve">and</w:t>
      </w:r>
      <w:r>
        <w:t xml:space="preserve"> </w:t>
      </w:r>
      <w:r>
        <w:t xml:space="preserve">A. Spring and Ghaziani (</w:t>
      </w:r>
      <w:hyperlink w:anchor="ref-spring_2024_new">
        <w:r>
          <w:rPr>
            <w:rStyle w:val="Hyperlink"/>
          </w:rPr>
          <w:t xml:space="preserve">2024</w:t>
        </w:r>
      </w:hyperlink>
      <w:r>
        <w:t xml:space="preserve">)</w:t>
      </w:r>
      <w:r>
        <w:t xml:space="preserve"> </w:t>
      </w:r>
      <w:r>
        <w:t xml:space="preserve">showing more geographic distributions at the county-level and metropolitan-level for all same-sex couples overall.</w:t>
      </w:r>
    </w:p>
    <w:p>
      <w:pPr>
        <w:pStyle w:val="BodyText"/>
      </w:pPr>
      <w:r>
        <w:t xml:space="preserve">Second, at the individual level, immigrants in same-sex couples are more similar to U.S.-born counterparts in same-sex couples. That is, both groups generally have higher incomes, socioeconomic status, education rates, and are unlikely to have children in comparison with immigrants in different-sex couples. Notwithstanding the theoretical and human importance of LGBQ asylum seekers and refugees, numbers of these are relatively small. Overall, LGBQ migrants tend to be socioeconomically privileged, a finding supported in other research</w:t>
      </w:r>
      <w:r>
        <w:t xml:space="preserve"> </w:t>
      </w:r>
      <w:r>
        <w:t xml:space="preserve">(</w:t>
      </w:r>
      <w:hyperlink w:anchor="ref-hoffmann_2023_sexuality">
        <w:r>
          <w:rPr>
            <w:rStyle w:val="Hyperlink"/>
          </w:rPr>
          <w:t xml:space="preserve">Hoffmann and Velasco 2023</w:t>
        </w:r>
      </w:hyperlink>
      <w:r>
        <w:t xml:space="preserve">)</w:t>
      </w:r>
      <w:r>
        <w:t xml:space="preserve">. In addition, LGBQ migrants in couples have higher rates of marriage (80 percent) than U.S.-born LGBQ couples (60%), likely due to the immigration benefits of same-sex marriage that followed the end of DOMA.</w:t>
      </w:r>
    </w:p>
    <w:p>
      <w:pPr>
        <w:pStyle w:val="BodyText"/>
      </w:pPr>
      <w:r>
        <w:t xml:space="preserve">While this group resembles the LGBQ U.S.-born individually, at the geographic level, there is evidence that immigrants in same-sex couples have their their own distinct settlement patterns. Certainly, there are some trends that look akin to either their U.S.-born same-sex couple counterparts or their fellow migrants. Similar to other immigrants, they live in areas with high proportions of Hispanic and immigrant individuals. However, the areas they live in have more LGBT nonprofit organizations, greater density, and higher property values than either the broader population of migrants or the LGBQ U.S.-born. Overall, these immigrants live in diverse, cosmopolitan, and LGBTQ+ supportive locations that have relatively diverse racial and migratory compositions. This is counter to U.S.-born same-sex couples that are increasingly spreading to conservative states and non-urban locations. Furthermore, they do not seem to be following immigrants in different-sex couples’ pathways to</w:t>
      </w:r>
      <w:r>
        <w:t xml:space="preserve"> </w:t>
      </w:r>
      <w:r>
        <w:t xml:space="preserve">“</w:t>
      </w:r>
      <w:r>
        <w:t xml:space="preserve">new immigrant destinations.</w:t>
      </w:r>
      <w:r>
        <w:t xml:space="preserve">”</w:t>
      </w:r>
      <w:r>
        <w:t xml:space="preserve"> </w:t>
      </w:r>
      <w:r>
        <w:t xml:space="preserve">Due to their privileged socioeconomic status, they may be in a better position to consider lifestyle migration factors than others</w:t>
      </w:r>
      <w:r>
        <w:t xml:space="preserve"> </w:t>
      </w:r>
      <w:r>
        <w:t xml:space="preserve">(</w:t>
      </w:r>
      <w:hyperlink w:anchor="ref-carrillo_2018">
        <w:r>
          <w:rPr>
            <w:rStyle w:val="Hyperlink"/>
          </w:rPr>
          <w:t xml:space="preserve">Carrillo 2018</w:t>
        </w:r>
      </w:hyperlink>
      <w:r>
        <w:t xml:space="preserve">;</w:t>
      </w:r>
      <w:r>
        <w:t xml:space="preserve"> </w:t>
      </w:r>
      <w:hyperlink w:anchor="ref-dixon_2020">
        <w:r>
          <w:rPr>
            <w:rStyle w:val="Hyperlink"/>
          </w:rPr>
          <w:t xml:space="preserve">Dixon 2020</w:t>
        </w:r>
      </w:hyperlink>
      <w:r>
        <w:t xml:space="preserve">)</w:t>
      </w:r>
      <w:r>
        <w:t xml:space="preserve">. However, much more research is needed to understand the direct mechanisms driving these distributional trends. Our interpretation here is only suggestive for future research.</w:t>
      </w:r>
    </w:p>
    <w:p>
      <w:pPr>
        <w:pStyle w:val="BodyText"/>
      </w:pPr>
      <w:r>
        <w:t xml:space="preserve">This study is subject to a number of limitations that future research should attempt to overcome. First, ACS data limit analysis to LGBQ migrants in couples who live together, excluding single or non-cohabiting LGBQ migrants. Reliance on data from the decennial census and the American Community Survey has necessarily constrained insights to those in cohabiting, same-sex couples (whether married or unmarried). Representative quantitative data on single queer people is quite limited, due to the rarity of including survey questions about sexual orientation and gender identity. Second, PUMAs are large (including at least 100,000 people), so analysis can not be as fine-grained as would be ideal. Especially in rural areas, PUMAs can be quite vast; research at lower levels of aggregation is necessary to better understand the settlement of these areas. Third, summary statistics from the ACS are only proxies for the lived spatial experiences of LGBQ migrants in these areas. In-depth qualitative work is necessary to understand how LGBQ migrants consider various aspects of place and space in deciding where to settle.</w:t>
      </w:r>
    </w:p>
    <w:p>
      <w:pPr>
        <w:pStyle w:val="BodyText"/>
      </w:pPr>
      <w:r>
        <w:t xml:space="preserve">add to conclusion</w:t>
      </w:r>
      <w:r>
        <w:t xml:space="preserve"> </w:t>
      </w:r>
      <w:r>
        <w:t xml:space="preserve">- bring back Also beyond the U.S., concentration in urban settings among other LGBQ couples is typical and this effect is even stronger for single individuals compared to those in couples</w:t>
      </w:r>
      <w:r>
        <w:t xml:space="preserve"> </w:t>
      </w:r>
      <w:r>
        <w:t xml:space="preserve">(</w:t>
      </w:r>
      <w:hyperlink w:anchor="ref-carpio-pinedo_2025_castro">
        <w:r>
          <w:rPr>
            <w:rStyle w:val="Hyperlink"/>
          </w:rPr>
          <w:t xml:space="preserve">Carpio-Pinedo and López-Baeza 2025</w:t>
        </w:r>
      </w:hyperlink>
      <w:r>
        <w:t xml:space="preserve">;</w:t>
      </w:r>
      <w:r>
        <w:t xml:space="preserve"> </w:t>
      </w:r>
      <w:hyperlink w:anchor="ref-wimark_2014_city">
        <w:r>
          <w:rPr>
            <w:rStyle w:val="Hyperlink"/>
          </w:rPr>
          <w:t xml:space="preserve">Wimark and Östh 2014</w:t>
        </w:r>
      </w:hyperlink>
      <w:r>
        <w:t xml:space="preserve">)</w:t>
      </w:r>
    </w:p>
    <w:p>
      <w:r>
        <w:br w:type="page"/>
      </w:r>
    </w:p>
    <w:bookmarkEnd w:id="33"/>
    <w:bookmarkStart w:id="165" w:name="references"/>
    <w:p>
      <w:pPr>
        <w:pStyle w:val="Heading1"/>
      </w:pPr>
      <w:r>
        <w:t xml:space="preserve">References</w:t>
      </w:r>
    </w:p>
    <w:bookmarkStart w:id="164" w:name="refs"/>
    <w:bookmarkStart w:id="35" w:name="ref-baumle_2013"/>
    <w:p>
      <w:pPr>
        <w:pStyle w:val="Bibliography"/>
      </w:pPr>
      <w:r>
        <w:t xml:space="preserve">Baumle, Amanda K., ed. 2013.</w:t>
      </w:r>
      <w:r>
        <w:t xml:space="preserve"> </w:t>
      </w:r>
      <w:r>
        <w:rPr>
          <w:iCs/>
          <w:i/>
        </w:rPr>
        <w:t xml:space="preserve">International</w:t>
      </w:r>
      <w:r>
        <w:rPr>
          <w:iCs/>
          <w:i/>
        </w:rPr>
        <w:t xml:space="preserve"> </w:t>
      </w:r>
      <w:r>
        <w:rPr>
          <w:iCs/>
          <w:i/>
        </w:rPr>
        <w:t xml:space="preserve">Handbook</w:t>
      </w:r>
      <w:r>
        <w:rPr>
          <w:iCs/>
          <w:i/>
        </w:rPr>
        <w:t xml:space="preserve"> </w:t>
      </w:r>
      <w:r>
        <w:rPr>
          <w:iCs/>
          <w:i/>
        </w:rPr>
        <w:t xml:space="preserve">on the</w:t>
      </w:r>
      <w:r>
        <w:rPr>
          <w:iCs/>
          <w:i/>
        </w:rPr>
        <w:t xml:space="preserve"> </w:t>
      </w:r>
      <w:r>
        <w:rPr>
          <w:iCs/>
          <w:i/>
        </w:rPr>
        <w:t xml:space="preserve">Demography</w:t>
      </w:r>
      <w:r>
        <w:rPr>
          <w:iCs/>
          <w:i/>
        </w:rPr>
        <w:t xml:space="preserve"> </w:t>
      </w:r>
      <w:r>
        <w:rPr>
          <w:iCs/>
          <w:i/>
        </w:rPr>
        <w:t xml:space="preserve">of</w:t>
      </w:r>
      <w:r>
        <w:rPr>
          <w:iCs/>
          <w:i/>
        </w:rPr>
        <w:t xml:space="preserve"> </w:t>
      </w:r>
      <w:r>
        <w:rPr>
          <w:iCs/>
          <w:i/>
        </w:rPr>
        <w:t xml:space="preserve">Sexuality</w:t>
      </w:r>
      <w:r>
        <w:t xml:space="preserve">. Vol. 5. International</w:t>
      </w:r>
      <w:r>
        <w:t xml:space="preserve"> </w:t>
      </w:r>
      <w:r>
        <w:t xml:space="preserve">Handbooks</w:t>
      </w:r>
      <w:r>
        <w:t xml:space="preserve"> </w:t>
      </w:r>
      <w:r>
        <w:t xml:space="preserve">of</w:t>
      </w:r>
      <w:r>
        <w:t xml:space="preserve"> </w:t>
      </w:r>
      <w:r>
        <w:t xml:space="preserve">Population</w:t>
      </w:r>
      <w:r>
        <w:t xml:space="preserve">. Dordrecht: Springer Netherlands.</w:t>
      </w:r>
      <w:r>
        <w:t xml:space="preserve"> </w:t>
      </w:r>
      <w:hyperlink r:id="rId34">
        <w:r>
          <w:rPr>
            <w:rStyle w:val="Hyperlink"/>
          </w:rPr>
          <w:t xml:space="preserve">https://doi.org/10.1007/978-94-007-5512-3</w:t>
        </w:r>
      </w:hyperlink>
      <w:r>
        <w:t xml:space="preserve">.</w:t>
      </w:r>
    </w:p>
    <w:bookmarkEnd w:id="35"/>
    <w:bookmarkStart w:id="36" w:name="ref-baumle_2009"/>
    <w:p>
      <w:pPr>
        <w:pStyle w:val="Bibliography"/>
      </w:pPr>
      <w:r>
        <w:t xml:space="preserve">Baumle, Amanda K., D’Lane Compton, and Dudley L. Poston. 2009.</w:t>
      </w:r>
      <w:r>
        <w:t xml:space="preserve"> </w:t>
      </w:r>
      <w:r>
        <w:rPr>
          <w:iCs/>
          <w:i/>
        </w:rPr>
        <w:t xml:space="preserve">Same-</w:t>
      </w:r>
      <w:r>
        <w:rPr>
          <w:iCs/>
          <w:i/>
        </w:rPr>
        <w:t xml:space="preserve">Sex Partners</w:t>
      </w:r>
      <w:r>
        <w:rPr>
          <w:iCs/>
          <w:i/>
        </w:rPr>
        <w:t xml:space="preserve">:</w:t>
      </w:r>
      <w:r>
        <w:rPr>
          <w:iCs/>
          <w:i/>
        </w:rPr>
        <w:t xml:space="preserve"> </w:t>
      </w:r>
      <w:r>
        <w:rPr>
          <w:iCs/>
          <w:i/>
        </w:rPr>
        <w:t xml:space="preserve">The Social Demography</w:t>
      </w:r>
      <w:r>
        <w:rPr>
          <w:iCs/>
          <w:i/>
        </w:rPr>
        <w:t xml:space="preserve"> </w:t>
      </w:r>
      <w:r>
        <w:rPr>
          <w:iCs/>
          <w:i/>
        </w:rPr>
        <w:t xml:space="preserve">of</w:t>
      </w:r>
      <w:r>
        <w:rPr>
          <w:iCs/>
          <w:i/>
        </w:rPr>
        <w:t xml:space="preserve"> </w:t>
      </w:r>
      <w:r>
        <w:rPr>
          <w:iCs/>
          <w:i/>
        </w:rPr>
        <w:t xml:space="preserve">Sexual Orientation</w:t>
      </w:r>
      <w:r>
        <w:t xml:space="preserve">. SUNY Press.</w:t>
      </w:r>
    </w:p>
    <w:bookmarkEnd w:id="36"/>
    <w:bookmarkStart w:id="38" w:name="ref-baumle_2019"/>
    <w:p>
      <w:pPr>
        <w:pStyle w:val="Bibliography"/>
      </w:pPr>
      <w:r>
        <w:t xml:space="preserve">Baumle, Amanda K., and Ben Dreon. 2019.</w:t>
      </w:r>
      <w:r>
        <w:t xml:space="preserve"> </w:t>
      </w:r>
      <w:r>
        <w:t xml:space="preserve">“The</w:t>
      </w:r>
      <w:r>
        <w:t xml:space="preserve"> </w:t>
      </w:r>
      <w:r>
        <w:t xml:space="preserve">Demography</w:t>
      </w:r>
      <w:r>
        <w:t xml:space="preserve"> </w:t>
      </w:r>
      <w:r>
        <w:t xml:space="preserve">of</w:t>
      </w:r>
      <w:r>
        <w:t xml:space="preserve"> </w:t>
      </w:r>
      <w:r>
        <w:t xml:space="preserve">Sexuality</w:t>
      </w:r>
      <w:r>
        <w:t xml:space="preserve">.”</w:t>
      </w:r>
      <w:r>
        <w:t xml:space="preserve"> </w:t>
      </w:r>
      <w:r>
        <w:t xml:space="preserve">In</w:t>
      </w:r>
      <w:r>
        <w:t xml:space="preserve"> </w:t>
      </w:r>
      <w:r>
        <w:rPr>
          <w:iCs/>
          <w:i/>
        </w:rPr>
        <w:t xml:space="preserve">Handbook of</w:t>
      </w:r>
      <w:r>
        <w:rPr>
          <w:iCs/>
          <w:i/>
        </w:rPr>
        <w:t xml:space="preserve"> </w:t>
      </w:r>
      <w:r>
        <w:rPr>
          <w:iCs/>
          <w:i/>
        </w:rPr>
        <w:t xml:space="preserve">Population</w:t>
      </w:r>
      <w:r>
        <w:t xml:space="preserve">, edited by Dudley L. Poston Jr., 279–88. Handbooks of</w:t>
      </w:r>
      <w:r>
        <w:t xml:space="preserve"> </w:t>
      </w:r>
      <w:r>
        <w:t xml:space="preserve">Sociology</w:t>
      </w:r>
      <w:r>
        <w:t xml:space="preserve"> </w:t>
      </w:r>
      <w:r>
        <w:t xml:space="preserve">and</w:t>
      </w:r>
      <w:r>
        <w:t xml:space="preserve"> </w:t>
      </w:r>
      <w:r>
        <w:t xml:space="preserve">Social Research</w:t>
      </w:r>
      <w:r>
        <w:t xml:space="preserve">. Cham: Springer International Publishing.</w:t>
      </w:r>
      <w:r>
        <w:t xml:space="preserve"> </w:t>
      </w:r>
      <w:hyperlink r:id="rId37">
        <w:r>
          <w:rPr>
            <w:rStyle w:val="Hyperlink"/>
          </w:rPr>
          <w:t xml:space="preserve">https://doi.org/10.1007/978-3-030-10910-3_11</w:t>
        </w:r>
      </w:hyperlink>
      <w:r>
        <w:t xml:space="preserve">.</w:t>
      </w:r>
    </w:p>
    <w:bookmarkEnd w:id="38"/>
    <w:bookmarkStart w:id="40" w:name="ref-baumle_2023_effects"/>
    <w:p>
      <w:pPr>
        <w:pStyle w:val="Bibliography"/>
      </w:pPr>
      <w:r>
        <w:t xml:space="preserve">Baumle, Amanda K., Audrey Miller, and Elizabeth Gregory. 2023.</w:t>
      </w:r>
      <w:r>
        <w:t xml:space="preserve"> </w:t>
      </w:r>
      <w:r>
        <w:t xml:space="preserve">“Effects of</w:t>
      </w:r>
      <w:r>
        <w:t xml:space="preserve"> </w:t>
      </w:r>
      <w:r>
        <w:t xml:space="preserve">State-Level Abortion</w:t>
      </w:r>
      <w:r>
        <w:t xml:space="preserve"> </w:t>
      </w:r>
      <w:r>
        <w:t xml:space="preserve">and</w:t>
      </w:r>
      <w:r>
        <w:t xml:space="preserve"> </w:t>
      </w:r>
      <w:r>
        <w:t xml:space="preserve">LGBT Laws</w:t>
      </w:r>
      <w:r>
        <w:t xml:space="preserve"> </w:t>
      </w:r>
      <w:r>
        <w:t xml:space="preserve">and</w:t>
      </w:r>
      <w:r>
        <w:t xml:space="preserve"> </w:t>
      </w:r>
      <w:r>
        <w:t xml:space="preserve">Policies</w:t>
      </w:r>
      <w:r>
        <w:t xml:space="preserve"> </w:t>
      </w:r>
      <w:r>
        <w:t xml:space="preserve">on</w:t>
      </w:r>
      <w:r>
        <w:t xml:space="preserve"> </w:t>
      </w:r>
      <w:r>
        <w:t xml:space="preserve">Interstate Migration Attitudes</w:t>
      </w:r>
      <w:r>
        <w:t xml:space="preserve">.”</w:t>
      </w:r>
      <w:r>
        <w:t xml:space="preserve"> </w:t>
      </w:r>
      <w:r>
        <w:rPr>
          <w:iCs/>
          <w:i/>
        </w:rPr>
        <w:t xml:space="preserve">Population Research and Policy Review</w:t>
      </w:r>
      <w:r>
        <w:t xml:space="preserve"> </w:t>
      </w:r>
      <w:r>
        <w:t xml:space="preserve">42 (6): 90.</w:t>
      </w:r>
      <w:r>
        <w:t xml:space="preserve"> </w:t>
      </w:r>
      <w:hyperlink r:id="rId39">
        <w:r>
          <w:rPr>
            <w:rStyle w:val="Hyperlink"/>
          </w:rPr>
          <w:t xml:space="preserve">https://doi.org/10.1007/s11113-023-09842-7</w:t>
        </w:r>
      </w:hyperlink>
      <w:r>
        <w:t xml:space="preserve">.</w:t>
      </w:r>
    </w:p>
    <w:bookmarkEnd w:id="40"/>
    <w:bookmarkStart w:id="41" w:name="ref-benson_2012"/>
    <w:p>
      <w:pPr>
        <w:pStyle w:val="Bibliography"/>
      </w:pPr>
      <w:r>
        <w:t xml:space="preserve">Benson, Michaela, and Karen O’Reilly. 2012.</w:t>
      </w:r>
      <w:r>
        <w:t xml:space="preserve"> </w:t>
      </w:r>
      <w:r>
        <w:rPr>
          <w:iCs/>
          <w:i/>
        </w:rPr>
        <w:t xml:space="preserve">Lifestyle</w:t>
      </w:r>
      <w:r>
        <w:rPr>
          <w:iCs/>
          <w:i/>
        </w:rPr>
        <w:t xml:space="preserve"> </w:t>
      </w:r>
      <w:r>
        <w:rPr>
          <w:iCs/>
          <w:i/>
        </w:rPr>
        <w:t xml:space="preserve">Migration</w:t>
      </w:r>
      <w:r>
        <w:rPr>
          <w:iCs/>
          <w:i/>
        </w:rPr>
        <w:t xml:space="preserve">:</w:t>
      </w:r>
      <w:r>
        <w:rPr>
          <w:iCs/>
          <w:i/>
        </w:rPr>
        <w:t xml:space="preserve"> </w:t>
      </w:r>
      <w:r>
        <w:rPr>
          <w:iCs/>
          <w:i/>
        </w:rPr>
        <w:t xml:space="preserve">Expectations</w:t>
      </w:r>
      <w:r>
        <w:rPr>
          <w:iCs/>
          <w:i/>
        </w:rPr>
        <w:t xml:space="preserve">,</w:t>
      </w:r>
      <w:r>
        <w:rPr>
          <w:iCs/>
          <w:i/>
        </w:rPr>
        <w:t xml:space="preserve"> </w:t>
      </w:r>
      <w:r>
        <w:rPr>
          <w:iCs/>
          <w:i/>
        </w:rPr>
        <w:t xml:space="preserve">Aspirations</w:t>
      </w:r>
      <w:r>
        <w:rPr>
          <w:iCs/>
          <w:i/>
        </w:rPr>
        <w:t xml:space="preserve"> </w:t>
      </w:r>
      <w:r>
        <w:rPr>
          <w:iCs/>
          <w:i/>
        </w:rPr>
        <w:t xml:space="preserve">and</w:t>
      </w:r>
      <w:r>
        <w:rPr>
          <w:iCs/>
          <w:i/>
        </w:rPr>
        <w:t xml:space="preserve"> </w:t>
      </w:r>
      <w:r>
        <w:rPr>
          <w:iCs/>
          <w:i/>
        </w:rPr>
        <w:t xml:space="preserve">Experiences</w:t>
      </w:r>
      <w:r>
        <w:t xml:space="preserve">. Furnham, United Kingdom: Ashgate Publishing.</w:t>
      </w:r>
    </w:p>
    <w:bookmarkEnd w:id="41"/>
    <w:bookmarkStart w:id="43" w:name="ref-binnie_2014_relational"/>
    <w:p>
      <w:pPr>
        <w:pStyle w:val="Bibliography"/>
      </w:pPr>
      <w:r>
        <w:t xml:space="preserve">Binnie, Jon. 2014.</w:t>
      </w:r>
      <w:r>
        <w:t xml:space="preserve"> </w:t>
      </w:r>
      <w:r>
        <w:t xml:space="preserve">“Relational</w:t>
      </w:r>
      <w:r>
        <w:t xml:space="preserve"> </w:t>
      </w:r>
      <w:r>
        <w:t xml:space="preserve">Comparison</w:t>
      </w:r>
      <w:r>
        <w:t xml:space="preserve">,</w:t>
      </w:r>
      <w:r>
        <w:t xml:space="preserve"> </w:t>
      </w:r>
      <w:r>
        <w:t xml:space="preserve">Queer Urbanism</w:t>
      </w:r>
      <w:r>
        <w:t xml:space="preserve"> </w:t>
      </w:r>
      <w:r>
        <w:t xml:space="preserve">and</w:t>
      </w:r>
      <w:r>
        <w:t xml:space="preserve"> </w:t>
      </w:r>
      <w:r>
        <w:t xml:space="preserve">Worlding Cities</w:t>
      </w:r>
      <w:r>
        <w:t xml:space="preserve">.”</w:t>
      </w:r>
      <w:r>
        <w:t xml:space="preserve"> </w:t>
      </w:r>
      <w:r>
        <w:rPr>
          <w:iCs/>
          <w:i/>
        </w:rPr>
        <w:t xml:space="preserve">Geography Compass</w:t>
      </w:r>
      <w:r>
        <w:t xml:space="preserve"> </w:t>
      </w:r>
      <w:r>
        <w:t xml:space="preserve">8 (8): 590–99.</w:t>
      </w:r>
      <w:r>
        <w:t xml:space="preserve"> </w:t>
      </w:r>
      <w:hyperlink r:id="rId42">
        <w:r>
          <w:rPr>
            <w:rStyle w:val="Hyperlink"/>
          </w:rPr>
          <w:t xml:space="preserve">https://doi.org/10.1111/gec3.12151</w:t>
        </w:r>
      </w:hyperlink>
      <w:r>
        <w:t xml:space="preserve">.</w:t>
      </w:r>
    </w:p>
    <w:bookmarkEnd w:id="43"/>
    <w:bookmarkStart w:id="44" w:name="ref-binnie_2006_cosmopolitan"/>
    <w:p>
      <w:pPr>
        <w:pStyle w:val="Bibliography"/>
      </w:pPr>
      <w:r>
        <w:t xml:space="preserve">Binnie, Jon, Julian Holloway, Steve Millington, and Craig Young. 2006.</w:t>
      </w:r>
      <w:r>
        <w:t xml:space="preserve"> </w:t>
      </w:r>
      <w:r>
        <w:rPr>
          <w:iCs/>
          <w:i/>
        </w:rPr>
        <w:t xml:space="preserve">Cosmopolitan</w:t>
      </w:r>
      <w:r>
        <w:rPr>
          <w:iCs/>
          <w:i/>
        </w:rPr>
        <w:t xml:space="preserve"> </w:t>
      </w:r>
      <w:r>
        <w:rPr>
          <w:iCs/>
          <w:i/>
        </w:rPr>
        <w:t xml:space="preserve">Urbanism</w:t>
      </w:r>
      <w:r>
        <w:t xml:space="preserve">. Routledge.</w:t>
      </w:r>
    </w:p>
    <w:bookmarkEnd w:id="44"/>
    <w:bookmarkStart w:id="46" w:name="ref-black_2002_why"/>
    <w:p>
      <w:pPr>
        <w:pStyle w:val="Bibliography"/>
      </w:pPr>
      <w:r>
        <w:t xml:space="preserve">Black, Dan, Gary Gates, Seth Sanders, and Lowell Taylor. 2002.</w:t>
      </w:r>
      <w:r>
        <w:t xml:space="preserve"> </w:t>
      </w:r>
      <w:r>
        <w:t xml:space="preserve">“Why</w:t>
      </w:r>
      <w:r>
        <w:t xml:space="preserve"> </w:t>
      </w:r>
      <w:r>
        <w:t xml:space="preserve">Do Gay Men Live</w:t>
      </w:r>
      <w:r>
        <w:t xml:space="preserve"> </w:t>
      </w:r>
      <w:r>
        <w:t xml:space="preserve">in</w:t>
      </w:r>
      <w:r>
        <w:t xml:space="preserve"> </w:t>
      </w:r>
      <w:r>
        <w:t xml:space="preserve">San Francisco</w:t>
      </w:r>
      <w:r>
        <w:t xml:space="preserve">?”</w:t>
      </w:r>
      <w:r>
        <w:t xml:space="preserve"> </w:t>
      </w:r>
      <w:r>
        <w:rPr>
          <w:iCs/>
          <w:i/>
        </w:rPr>
        <w:t xml:space="preserve">Journal of Urban Economics</w:t>
      </w:r>
      <w:r>
        <w:t xml:space="preserve"> </w:t>
      </w:r>
      <w:r>
        <w:t xml:space="preserve">51 (1): 54–76.</w:t>
      </w:r>
      <w:r>
        <w:t xml:space="preserve"> </w:t>
      </w:r>
      <w:hyperlink r:id="rId45">
        <w:r>
          <w:rPr>
            <w:rStyle w:val="Hyperlink"/>
          </w:rPr>
          <w:t xml:space="preserve">https://doi.org/10.1006/juec.2001.2237</w:t>
        </w:r>
      </w:hyperlink>
      <w:r>
        <w:t xml:space="preserve">.</w:t>
      </w:r>
    </w:p>
    <w:bookmarkEnd w:id="46"/>
    <w:bookmarkStart w:id="47" w:name="ref-boertien_2019"/>
    <w:p>
      <w:pPr>
        <w:pStyle w:val="Bibliography"/>
      </w:pPr>
      <w:r>
        <w:t xml:space="preserve">Boertien, Diederik, and Daniele Vignoli. 2019.</w:t>
      </w:r>
      <w:r>
        <w:t xml:space="preserve"> </w:t>
      </w:r>
      <w:r>
        <w:t xml:space="preserve">“Legalizing Same-Sex Marriage Matters for the Subjective Well-Being of Individuals in Same-Sex Unions.”</w:t>
      </w:r>
      <w:r>
        <w:t xml:space="preserve"> </w:t>
      </w:r>
      <w:r>
        <w:rPr>
          <w:iCs/>
          <w:i/>
        </w:rPr>
        <w:t xml:space="preserve">Demography</w:t>
      </w:r>
      <w:r>
        <w:t xml:space="preserve"> </w:t>
      </w:r>
      <w:r>
        <w:t xml:space="preserve">56 (6): 2109–21.</w:t>
      </w:r>
    </w:p>
    <w:bookmarkEnd w:id="47"/>
    <w:bookmarkStart w:id="49" w:name="ref-brown_2008_urban"/>
    <w:p>
      <w:pPr>
        <w:pStyle w:val="Bibliography"/>
      </w:pPr>
      <w:r>
        <w:t xml:space="preserve">Brown, Gavin. 2008.</w:t>
      </w:r>
      <w:r>
        <w:t xml:space="preserve"> </w:t>
      </w:r>
      <w:r>
        <w:t xml:space="preserve">“Urban (</w:t>
      </w:r>
      <w:r>
        <w:t xml:space="preserve">Homo</w:t>
      </w:r>
      <w:r>
        <w:t xml:space="preserve">)</w:t>
      </w:r>
      <w:r>
        <w:t xml:space="preserve">Sexualities</w:t>
      </w:r>
      <w:r>
        <w:t xml:space="preserve">:</w:t>
      </w:r>
      <w:r>
        <w:t xml:space="preserve"> </w:t>
      </w:r>
      <w:r>
        <w:t xml:space="preserve">Ordinary Cities</w:t>
      </w:r>
      <w:r>
        <w:t xml:space="preserve"> </w:t>
      </w:r>
      <w:r>
        <w:t xml:space="preserve">and</w:t>
      </w:r>
      <w:r>
        <w:t xml:space="preserve"> </w:t>
      </w:r>
      <w:r>
        <w:t xml:space="preserve">Ordinary Sexualities</w:t>
      </w:r>
      <w:r>
        <w:t xml:space="preserve">.”</w:t>
      </w:r>
      <w:r>
        <w:t xml:space="preserve"> </w:t>
      </w:r>
      <w:r>
        <w:rPr>
          <w:iCs/>
          <w:i/>
        </w:rPr>
        <w:t xml:space="preserve">Geography Compass</w:t>
      </w:r>
      <w:r>
        <w:t xml:space="preserve"> </w:t>
      </w:r>
      <w:r>
        <w:t xml:space="preserve">2 (4): 1215–31.</w:t>
      </w:r>
      <w:r>
        <w:t xml:space="preserve"> </w:t>
      </w:r>
      <w:hyperlink r:id="rId48">
        <w:r>
          <w:rPr>
            <w:rStyle w:val="Hyperlink"/>
          </w:rPr>
          <w:t xml:space="preserve">https://doi.org/10.1111/j.1749-8198.2008.00127.x</w:t>
        </w:r>
      </w:hyperlink>
      <w:r>
        <w:t xml:space="preserve">.</w:t>
      </w:r>
    </w:p>
    <w:bookmarkEnd w:id="49"/>
    <w:bookmarkStart w:id="51" w:name="ref-carpio-pinedo_2025_castro"/>
    <w:p>
      <w:pPr>
        <w:pStyle w:val="Bibliography"/>
      </w:pPr>
      <w:r>
        <w:t xml:space="preserve">Carpio-Pinedo, Jose, and Jesús López-Baeza. 2025.</w:t>
      </w:r>
      <w:r>
        <w:t xml:space="preserve"> </w:t>
      </w:r>
      <w:r>
        <w:t xml:space="preserve">“Castro,</w:t>
      </w:r>
      <w:r>
        <w:t xml:space="preserve"> </w:t>
      </w:r>
      <w:r>
        <w:t xml:space="preserve">Soho</w:t>
      </w:r>
      <w:r>
        <w:t xml:space="preserve">,</w:t>
      </w:r>
      <w:r>
        <w:t xml:space="preserve"> </w:t>
      </w:r>
      <w:r>
        <w:t xml:space="preserve">Chueca</w:t>
      </w:r>
      <w:r>
        <w:t xml:space="preserve">,</w:t>
      </w:r>
      <w:r>
        <w:t xml:space="preserve"> </w:t>
      </w:r>
      <w:r>
        <w:t xml:space="preserve">Le Marais</w:t>
      </w:r>
      <w:r>
        <w:t xml:space="preserve">.</w:t>
      </w:r>
      <w:r>
        <w:t xml:space="preserve"> </w:t>
      </w:r>
      <w:r>
        <w:t xml:space="preserve">An</w:t>
      </w:r>
      <w:r>
        <w:t xml:space="preserve"> </w:t>
      </w:r>
      <w:r>
        <w:t xml:space="preserve">International Approach to Queer Urban Spaces of Symbolic Capital Accumulation.”</w:t>
      </w:r>
      <w:r>
        <w:t xml:space="preserve"> </w:t>
      </w:r>
      <w:r>
        <w:rPr>
          <w:iCs/>
          <w:i/>
        </w:rPr>
        <w:t xml:space="preserve">Urban Studies</w:t>
      </w:r>
      <w:r>
        <w:t xml:space="preserve"> </w:t>
      </w:r>
      <w:r>
        <w:t xml:space="preserve">62 (2): 328–46.</w:t>
      </w:r>
      <w:r>
        <w:t xml:space="preserve"> </w:t>
      </w:r>
      <w:hyperlink r:id="rId50">
        <w:r>
          <w:rPr>
            <w:rStyle w:val="Hyperlink"/>
          </w:rPr>
          <w:t xml:space="preserve">https://doi.org/10.1177/00420980241256821</w:t>
        </w:r>
      </w:hyperlink>
      <w:r>
        <w:t xml:space="preserve">.</w:t>
      </w:r>
    </w:p>
    <w:bookmarkEnd w:id="51"/>
    <w:bookmarkStart w:id="52" w:name="ref-carrillo_2018"/>
    <w:p>
      <w:pPr>
        <w:pStyle w:val="Bibliography"/>
      </w:pPr>
      <w:r>
        <w:t xml:space="preserve">Carrillo, Héctor. 2018.</w:t>
      </w:r>
      <w:r>
        <w:t xml:space="preserve"> </w:t>
      </w:r>
      <w:r>
        <w:rPr>
          <w:iCs/>
          <w:i/>
        </w:rPr>
        <w:t xml:space="preserve">Pathways of</w:t>
      </w:r>
      <w:r>
        <w:rPr>
          <w:iCs/>
          <w:i/>
        </w:rPr>
        <w:t xml:space="preserve"> </w:t>
      </w:r>
      <w:r>
        <w:rPr>
          <w:iCs/>
          <w:i/>
        </w:rPr>
        <w:t xml:space="preserve">Desire</w:t>
      </w:r>
      <w:r>
        <w:rPr>
          <w:iCs/>
          <w:i/>
        </w:rPr>
        <w:t xml:space="preserve">:</w:t>
      </w:r>
      <w:r>
        <w:rPr>
          <w:iCs/>
          <w:i/>
        </w:rPr>
        <w:t xml:space="preserve"> </w:t>
      </w:r>
      <w:r>
        <w:rPr>
          <w:iCs/>
          <w:i/>
        </w:rPr>
        <w:t xml:space="preserve">The Sexual Migration</w:t>
      </w:r>
      <w:r>
        <w:rPr>
          <w:iCs/>
          <w:i/>
        </w:rPr>
        <w:t xml:space="preserve"> </w:t>
      </w:r>
      <w:r>
        <w:rPr>
          <w:iCs/>
          <w:i/>
        </w:rPr>
        <w:t xml:space="preserve">of</w:t>
      </w:r>
      <w:r>
        <w:rPr>
          <w:iCs/>
          <w:i/>
        </w:rPr>
        <w:t xml:space="preserve"> </w:t>
      </w:r>
      <w:r>
        <w:rPr>
          <w:iCs/>
          <w:i/>
        </w:rPr>
        <w:t xml:space="preserve">Mexican Gay Men</w:t>
      </w:r>
      <w:r>
        <w:t xml:space="preserve">. University of Chicago Press.</w:t>
      </w:r>
    </w:p>
    <w:bookmarkEnd w:id="52"/>
    <w:bookmarkStart w:id="54" w:name="ref-chiswick_2004_where"/>
    <w:p>
      <w:pPr>
        <w:pStyle w:val="Bibliography"/>
      </w:pPr>
      <w:r>
        <w:t xml:space="preserve">Chiswick, Barry R., and Paul W. Miller. 2004.</w:t>
      </w:r>
      <w:r>
        <w:t xml:space="preserve"> </w:t>
      </w:r>
      <w:r>
        <w:t xml:space="preserve">“Where</w:t>
      </w:r>
      <w:r>
        <w:t xml:space="preserve"> </w:t>
      </w:r>
      <w:r>
        <w:t xml:space="preserve">Immigrants Settle</w:t>
      </w:r>
      <w:r>
        <w:t xml:space="preserve"> </w:t>
      </w:r>
      <w:r>
        <w:t xml:space="preserve">in the</w:t>
      </w:r>
      <w:r>
        <w:t xml:space="preserve"> </w:t>
      </w:r>
      <w:r>
        <w:t xml:space="preserve">United States</w:t>
      </w:r>
      <w:r>
        <w:t xml:space="preserve">.”</w:t>
      </w:r>
      <w:r>
        <w:t xml:space="preserve"> </w:t>
      </w:r>
      <w:r>
        <w:rPr>
          <w:iCs/>
          <w:i/>
        </w:rPr>
        <w:t xml:space="preserve">Journal of Comparative Policy Analysis: Research and Practice</w:t>
      </w:r>
      <w:r>
        <w:t xml:space="preserve"> </w:t>
      </w:r>
      <w:r>
        <w:t xml:space="preserve">6 (2): 185–97.</w:t>
      </w:r>
      <w:r>
        <w:t xml:space="preserve"> </w:t>
      </w:r>
      <w:hyperlink r:id="rId53">
        <w:r>
          <w:rPr>
            <w:rStyle w:val="Hyperlink"/>
          </w:rPr>
          <w:t xml:space="preserve">https://doi.org/10.1080/1387698042000273479</w:t>
        </w:r>
      </w:hyperlink>
      <w:r>
        <w:t xml:space="preserve">.</w:t>
      </w:r>
    </w:p>
    <w:bookmarkEnd w:id="54"/>
    <w:bookmarkStart w:id="56" w:name="ref-choi_2022_global"/>
    <w:p>
      <w:pPr>
        <w:pStyle w:val="Bibliography"/>
      </w:pPr>
      <w:r>
        <w:t xml:space="preserve">Choi, Susanne YP. 2022.</w:t>
      </w:r>
      <w:r>
        <w:t xml:space="preserve"> </w:t>
      </w:r>
      <w:r>
        <w:t xml:space="preserve">“Global</w:t>
      </w:r>
      <w:r>
        <w:t xml:space="preserve"> </w:t>
      </w:r>
      <w:r>
        <w:t xml:space="preserve">Multiple Migration</w:t>
      </w:r>
      <w:r>
        <w:t xml:space="preserve">:</w:t>
      </w:r>
      <w:r>
        <w:t xml:space="preserve"> </w:t>
      </w:r>
      <w:r>
        <w:t xml:space="preserve">Class-Based Mobility Capital</w:t>
      </w:r>
      <w:r>
        <w:t xml:space="preserve"> </w:t>
      </w:r>
      <w:r>
        <w:t xml:space="preserve">of</w:t>
      </w:r>
      <w:r>
        <w:t xml:space="preserve"> </w:t>
      </w:r>
      <w:r>
        <w:t xml:space="preserve">Elite Chinese Gay Men</w:t>
      </w:r>
      <w:r>
        <w:t xml:space="preserve">.”</w:t>
      </w:r>
      <w:r>
        <w:t xml:space="preserve"> </w:t>
      </w:r>
      <w:r>
        <w:rPr>
          <w:iCs/>
          <w:i/>
        </w:rPr>
        <w:t xml:space="preserve">Sociology</w:t>
      </w:r>
      <w:r>
        <w:t xml:space="preserve">, March, 00380385211073237.</w:t>
      </w:r>
      <w:r>
        <w:t xml:space="preserve"> </w:t>
      </w:r>
      <w:hyperlink r:id="rId55">
        <w:r>
          <w:rPr>
            <w:rStyle w:val="Hyperlink"/>
          </w:rPr>
          <w:t xml:space="preserve">https://doi.org/10.1177/00380385211073237</w:t>
        </w:r>
      </w:hyperlink>
      <w:r>
        <w:t xml:space="preserve">.</w:t>
      </w:r>
    </w:p>
    <w:bookmarkEnd w:id="56"/>
    <w:bookmarkStart w:id="58" w:name="ref-chossiere_2021_refugeeness"/>
    <w:p>
      <w:pPr>
        <w:pStyle w:val="Bibliography"/>
      </w:pPr>
      <w:r>
        <w:t xml:space="preserve">Chossière, Florent. 2021.</w:t>
      </w:r>
      <w:r>
        <w:t xml:space="preserve"> </w:t>
      </w:r>
      <w:r>
        <w:t xml:space="preserve">“Refugeeness,</w:t>
      </w:r>
      <w:r>
        <w:t xml:space="preserve"> </w:t>
      </w:r>
      <w:r>
        <w:t xml:space="preserve">Sexuality</w:t>
      </w:r>
      <w:r>
        <w:t xml:space="preserve">, and</w:t>
      </w:r>
      <w:r>
        <w:t xml:space="preserve"> </w:t>
      </w:r>
      <w:r>
        <w:t xml:space="preserve">Gender</w:t>
      </w:r>
      <w:r>
        <w:t xml:space="preserve">:</w:t>
      </w:r>
      <w:r>
        <w:t xml:space="preserve"> </w:t>
      </w:r>
      <w:r>
        <w:t xml:space="preserve">Spatialized Lived Experiences</w:t>
      </w:r>
      <w:r>
        <w:t xml:space="preserve"> </w:t>
      </w:r>
      <w:r>
        <w:t xml:space="preserve">of</w:t>
      </w:r>
      <w:r>
        <w:t xml:space="preserve"> </w:t>
      </w:r>
      <w:r>
        <w:t xml:space="preserve">Intersectionality</w:t>
      </w:r>
      <w:r>
        <w:t xml:space="preserve"> </w:t>
      </w:r>
      <w:r>
        <w:t xml:space="preserve">by</w:t>
      </w:r>
      <w:r>
        <w:t xml:space="preserve"> </w:t>
      </w:r>
      <w:r>
        <w:t xml:space="preserve">Queer Asylum Seekers</w:t>
      </w:r>
      <w:r>
        <w:t xml:space="preserve"> </w:t>
      </w:r>
      <w:r>
        <w:t xml:space="preserve">and</w:t>
      </w:r>
      <w:r>
        <w:t xml:space="preserve"> </w:t>
      </w:r>
      <w:r>
        <w:t xml:space="preserve">Refugees</w:t>
      </w:r>
      <w:r>
        <w:t xml:space="preserve"> </w:t>
      </w:r>
      <w:r>
        <w:t xml:space="preserve">in</w:t>
      </w:r>
      <w:r>
        <w:t xml:space="preserve"> </w:t>
      </w:r>
      <w:r>
        <w:t xml:space="preserve">Paris</w:t>
      </w:r>
      <w:r>
        <w:t xml:space="preserve">.”</w:t>
      </w:r>
      <w:r>
        <w:t xml:space="preserve"> </w:t>
      </w:r>
      <w:r>
        <w:rPr>
          <w:iCs/>
          <w:i/>
        </w:rPr>
        <w:t xml:space="preserve">Frontiers in Human Dynamics</w:t>
      </w:r>
      <w:r>
        <w:t xml:space="preserve"> </w:t>
      </w:r>
      <w:r>
        <w:t xml:space="preserve">3 (April).</w:t>
      </w:r>
      <w:r>
        <w:t xml:space="preserve"> </w:t>
      </w:r>
      <w:hyperlink r:id="rId57">
        <w:r>
          <w:rPr>
            <w:rStyle w:val="Hyperlink"/>
          </w:rPr>
          <w:t xml:space="preserve">https://doi.org/10.3389/fhumd.2021.634009</w:t>
        </w:r>
      </w:hyperlink>
      <w:r>
        <w:t xml:space="preserve">.</w:t>
      </w:r>
    </w:p>
    <w:bookmarkEnd w:id="58"/>
    <w:bookmarkStart w:id="60" w:name="ref-christafore_2019"/>
    <w:p>
      <w:pPr>
        <w:pStyle w:val="Bibliography"/>
      </w:pPr>
      <w:r>
        <w:t xml:space="preserve">Christafore, David, and Susane Leguizamon. 2019.</w:t>
      </w:r>
      <w:r>
        <w:t xml:space="preserve"> </w:t>
      </w:r>
      <w:r>
        <w:t xml:space="preserve">“Taste-</w:t>
      </w:r>
      <w:r>
        <w:t xml:space="preserve">Based Discrimination</w:t>
      </w:r>
      <w:r>
        <w:t xml:space="preserve">,</w:t>
      </w:r>
      <w:r>
        <w:t xml:space="preserve"> </w:t>
      </w:r>
      <w:r>
        <w:t xml:space="preserve">Tolerance</w:t>
      </w:r>
      <w:r>
        <w:t xml:space="preserve"> </w:t>
      </w:r>
      <w:r>
        <w:t xml:space="preserve">and the</w:t>
      </w:r>
      <w:r>
        <w:t xml:space="preserve"> </w:t>
      </w:r>
      <w:r>
        <w:t xml:space="preserve">Wage Gap</w:t>
      </w:r>
      <w:r>
        <w:t xml:space="preserve">:</w:t>
      </w:r>
      <w:r>
        <w:t xml:space="preserve"> </w:t>
      </w:r>
      <w:r>
        <w:t xml:space="preserve">When Does Economic Freedom Help Gay Men</w:t>
      </w:r>
      <w:r>
        <w:t xml:space="preserve">?”</w:t>
      </w:r>
      <w:r>
        <w:t xml:space="preserve"> </w:t>
      </w:r>
      <w:r>
        <w:rPr>
          <w:iCs/>
          <w:i/>
        </w:rPr>
        <w:t xml:space="preserve">Kyklos : Jahrbuch Des Instituts f</w:t>
      </w:r>
      <w:r>
        <w:rPr>
          <w:iCs/>
          <w:i/>
        </w:rPr>
        <w:t xml:space="preserve">ü</w:t>
      </w:r>
      <w:r>
        <w:rPr>
          <w:iCs/>
          <w:i/>
        </w:rPr>
        <w:t xml:space="preserve">r Geschichte Der Medizin an Der Universit</w:t>
      </w:r>
      <w:r>
        <w:rPr>
          <w:iCs/>
          <w:i/>
        </w:rPr>
        <w:t xml:space="preserve">ä</w:t>
      </w:r>
      <w:r>
        <w:rPr>
          <w:iCs/>
          <w:i/>
        </w:rPr>
        <w:t xml:space="preserve">t Leipzig</w:t>
      </w:r>
      <w:r>
        <w:t xml:space="preserve"> </w:t>
      </w:r>
      <w:r>
        <w:t xml:space="preserve">72 (3): 426–45.</w:t>
      </w:r>
      <w:r>
        <w:t xml:space="preserve"> </w:t>
      </w:r>
      <w:hyperlink r:id="rId59">
        <w:r>
          <w:rPr>
            <w:rStyle w:val="Hyperlink"/>
          </w:rPr>
          <w:t xml:space="preserve">https://doi.org/10.1111/kykl.12206</w:t>
        </w:r>
      </w:hyperlink>
      <w:r>
        <w:t xml:space="preserve">.</w:t>
      </w:r>
    </w:p>
    <w:bookmarkEnd w:id="60"/>
    <w:bookmarkStart w:id="62" w:name="ref-cui_2024_queer"/>
    <w:p>
      <w:pPr>
        <w:pStyle w:val="Bibliography"/>
      </w:pPr>
      <w:r>
        <w:t xml:space="preserve">Cui, Le, and Lin Song. 2024.</w:t>
      </w:r>
      <w:r>
        <w:t xml:space="preserve"> </w:t>
      </w:r>
      <w:r>
        <w:t xml:space="preserve">“Queer Migration, Heteronormativity and the</w:t>
      </w:r>
      <w:r>
        <w:t xml:space="preserve"> </w:t>
      </w:r>
      <w:r>
        <w:t xml:space="preserve">‘Ethnic Closet’</w:t>
      </w:r>
      <w:r>
        <w:t xml:space="preserve">:</w:t>
      </w:r>
      <w:r>
        <w:t xml:space="preserve"> </w:t>
      </w:r>
      <w:r>
        <w:t xml:space="preserve">Chinese</w:t>
      </w:r>
      <w:r>
        <w:t xml:space="preserve"> </w:t>
      </w:r>
      <w:r>
        <w:t xml:space="preserve">Queer International Students’ Intersectional Experience in</w:t>
      </w:r>
      <w:r>
        <w:t xml:space="preserve"> </w:t>
      </w:r>
      <w:r>
        <w:t xml:space="preserve">New Zealand</w:t>
      </w:r>
      <w:r>
        <w:t xml:space="preserve">.”</w:t>
      </w:r>
      <w:r>
        <w:t xml:space="preserve"> </w:t>
      </w:r>
      <w:r>
        <w:rPr>
          <w:iCs/>
          <w:i/>
        </w:rPr>
        <w:t xml:space="preserve">European Journal of Education</w:t>
      </w:r>
      <w:r>
        <w:t xml:space="preserve"> </w:t>
      </w:r>
      <w:r>
        <w:t xml:space="preserve">59 (2): e12608.</w:t>
      </w:r>
      <w:r>
        <w:t xml:space="preserve"> </w:t>
      </w:r>
      <w:hyperlink r:id="rId61">
        <w:r>
          <w:rPr>
            <w:rStyle w:val="Hyperlink"/>
          </w:rPr>
          <w:t xml:space="preserve">https://doi.org/10.1111/ejed.12608</w:t>
        </w:r>
      </w:hyperlink>
      <w:r>
        <w:t xml:space="preserve">.</w:t>
      </w:r>
    </w:p>
    <w:bookmarkEnd w:id="62"/>
    <w:bookmarkStart w:id="64" w:name="ref-dhoest_2023_intersectional"/>
    <w:p>
      <w:pPr>
        <w:pStyle w:val="Bibliography"/>
      </w:pPr>
      <w:r>
        <w:t xml:space="preserve">Dhoest, Alexander, and Marion Wasserbauer. 2023.</w:t>
      </w:r>
      <w:r>
        <w:t xml:space="preserve"> </w:t>
      </w:r>
      <w:r>
        <w:t xml:space="preserve">“Intersectional</w:t>
      </w:r>
      <w:r>
        <w:t xml:space="preserve"> </w:t>
      </w:r>
      <w:r>
        <w:t xml:space="preserve">Challenges</w:t>
      </w:r>
      <w:r>
        <w:t xml:space="preserve">:</w:t>
      </w:r>
      <w:r>
        <w:t xml:space="preserve"> </w:t>
      </w:r>
      <w:r>
        <w:t xml:space="preserve">How</w:t>
      </w:r>
      <w:r>
        <w:t xml:space="preserve"> </w:t>
      </w:r>
      <w:r>
        <w:t xml:space="preserve">(</w:t>
      </w:r>
      <w:r>
        <w:t xml:space="preserve">Not</w:t>
      </w:r>
      <w:r>
        <w:t xml:space="preserve">) to</w:t>
      </w:r>
      <w:r>
        <w:t xml:space="preserve"> </w:t>
      </w:r>
      <w:r>
        <w:t xml:space="preserve">Study</w:t>
      </w:r>
      <w:r>
        <w:t xml:space="preserve"> </w:t>
      </w:r>
      <w:r>
        <w:t xml:space="preserve">and</w:t>
      </w:r>
      <w:r>
        <w:t xml:space="preserve"> </w:t>
      </w:r>
      <w:r>
        <w:t xml:space="preserve">Support LGBTQs</w:t>
      </w:r>
      <w:r>
        <w:t xml:space="preserve"> </w:t>
      </w:r>
      <w:r>
        <w:t xml:space="preserve">with a</w:t>
      </w:r>
      <w:r>
        <w:t xml:space="preserve"> </w:t>
      </w:r>
      <w:r>
        <w:t xml:space="preserve">Migration Background</w:t>
      </w:r>
      <w:r>
        <w:t xml:space="preserve">.”</w:t>
      </w:r>
      <w:r>
        <w:t xml:space="preserve"> </w:t>
      </w:r>
      <w:r>
        <w:rPr>
          <w:iCs/>
          <w:i/>
        </w:rPr>
        <w:t xml:space="preserve">Sexuality Research and Social Policy</w:t>
      </w:r>
      <w:r>
        <w:t xml:space="preserve"> </w:t>
      </w:r>
      <w:r>
        <w:t xml:space="preserve">20 (2): 548–60.</w:t>
      </w:r>
      <w:r>
        <w:t xml:space="preserve"> </w:t>
      </w:r>
      <w:hyperlink r:id="rId63">
        <w:r>
          <w:rPr>
            <w:rStyle w:val="Hyperlink"/>
          </w:rPr>
          <w:t xml:space="preserve">https://doi.org/10.1007/s13178-021-00683-7</w:t>
        </w:r>
      </w:hyperlink>
      <w:r>
        <w:t xml:space="preserve">.</w:t>
      </w:r>
    </w:p>
    <w:bookmarkEnd w:id="64"/>
    <w:bookmarkStart w:id="66" w:name="ref-difeliciantonio_2016_situating"/>
    <w:p>
      <w:pPr>
        <w:pStyle w:val="Bibliography"/>
      </w:pPr>
      <w:r>
        <w:t xml:space="preserve">Di Feliciantonio, Cesare, and Kaciano B. Gadelha. 2016.</w:t>
      </w:r>
      <w:r>
        <w:t xml:space="preserve"> </w:t>
      </w:r>
      <w:r>
        <w:t xml:space="preserve">“Situating Queer Migration Within (National) Welfare Regimes.”</w:t>
      </w:r>
      <w:r>
        <w:t xml:space="preserve"> </w:t>
      </w:r>
      <w:r>
        <w:rPr>
          <w:iCs/>
          <w:i/>
        </w:rPr>
        <w:t xml:space="preserve">Geoforum</w:t>
      </w:r>
      <w:r>
        <w:t xml:space="preserve"> </w:t>
      </w:r>
      <w:r>
        <w:t xml:space="preserve">68 (January): 1–9.</w:t>
      </w:r>
      <w:r>
        <w:t xml:space="preserve"> </w:t>
      </w:r>
      <w:hyperlink r:id="rId65">
        <w:r>
          <w:rPr>
            <w:rStyle w:val="Hyperlink"/>
          </w:rPr>
          <w:t xml:space="preserve">https://doi.org/10.1016/j.geoforum.2015.11.007</w:t>
        </w:r>
      </w:hyperlink>
      <w:r>
        <w:t xml:space="preserve">.</w:t>
      </w:r>
    </w:p>
    <w:bookmarkEnd w:id="66"/>
    <w:bookmarkStart w:id="68" w:name="ref-dixon_2020"/>
    <w:p>
      <w:pPr>
        <w:pStyle w:val="Bibliography"/>
      </w:pPr>
      <w:r>
        <w:t xml:space="preserve">Dixon, Laura. 2020.</w:t>
      </w:r>
      <w:r>
        <w:t xml:space="preserve"> </w:t>
      </w:r>
      <w:r>
        <w:t xml:space="preserve">“Gender, Sexuality and Lifestyle Migration:</w:t>
      </w:r>
      <w:r>
        <w:t xml:space="preserve"> </w:t>
      </w:r>
      <w:r>
        <w:t xml:space="preserve">Exploring</w:t>
      </w:r>
      <w:r>
        <w:t xml:space="preserve"> </w:t>
      </w:r>
      <w:r>
        <w:t xml:space="preserve">the Impact of Cosmopolitan Place-Marketing Discourses on the Post-Migratory Experiences of</w:t>
      </w:r>
      <w:r>
        <w:t xml:space="preserve"> </w:t>
      </w:r>
      <w:r>
        <w:t xml:space="preserve">British</w:t>
      </w:r>
      <w:r>
        <w:t xml:space="preserve"> </w:t>
      </w:r>
      <w:r>
        <w:t xml:space="preserve">Women in</w:t>
      </w:r>
      <w:r>
        <w:t xml:space="preserve"> </w:t>
      </w:r>
      <w:r>
        <w:t xml:space="preserve">Spain</w:t>
      </w:r>
      <w:r>
        <w:t xml:space="preserve">.”</w:t>
      </w:r>
      <w:r>
        <w:t xml:space="preserve"> </w:t>
      </w:r>
      <w:r>
        <w:rPr>
          <w:iCs/>
          <w:i/>
        </w:rPr>
        <w:t xml:space="preserve">Current Sociology</w:t>
      </w:r>
      <w:r>
        <w:t xml:space="preserve"> </w:t>
      </w:r>
      <w:r>
        <w:t xml:space="preserve">68 (3): 281–98.</w:t>
      </w:r>
      <w:r>
        <w:t xml:space="preserve"> </w:t>
      </w:r>
      <w:hyperlink r:id="rId67">
        <w:r>
          <w:rPr>
            <w:rStyle w:val="Hyperlink"/>
          </w:rPr>
          <w:t xml:space="preserve">https://doi.org/10.1177/0011392119850231</w:t>
        </w:r>
      </w:hyperlink>
      <w:r>
        <w:t xml:space="preserve">.</w:t>
      </w:r>
    </w:p>
    <w:bookmarkEnd w:id="68"/>
    <w:bookmarkStart w:id="70" w:name="ref-durand_2019_evolution"/>
    <w:p>
      <w:pPr>
        <w:pStyle w:val="Bibliography"/>
      </w:pPr>
      <w:r>
        <w:t xml:space="preserve">Durand, Jorge, and Douglas S. Massey. 2019.</w:t>
      </w:r>
      <w:r>
        <w:t xml:space="preserve"> </w:t>
      </w:r>
      <w:r>
        <w:t xml:space="preserve">“Evolution of the</w:t>
      </w:r>
      <w:r>
        <w:t xml:space="preserve"> </w:t>
      </w:r>
      <w:r>
        <w:t xml:space="preserve">Mexico-U</w:t>
      </w:r>
      <w:r>
        <w:t xml:space="preserve">.</w:t>
      </w:r>
      <w:r>
        <w:t xml:space="preserve">S</w:t>
      </w:r>
      <w:r>
        <w:t xml:space="preserve">.</w:t>
      </w:r>
      <w:r>
        <w:t xml:space="preserve"> </w:t>
      </w:r>
      <w:r>
        <w:t xml:space="preserve">Migration System</w:t>
      </w:r>
      <w:r>
        <w:t xml:space="preserve">:</w:t>
      </w:r>
      <w:r>
        <w:t xml:space="preserve"> </w:t>
      </w:r>
      <w:r>
        <w:t xml:space="preserve">Insights</w:t>
      </w:r>
      <w:r>
        <w:t xml:space="preserve"> </w:t>
      </w:r>
      <w:r>
        <w:t xml:space="preserve">from the</w:t>
      </w:r>
      <w:r>
        <w:t xml:space="preserve"> </w:t>
      </w:r>
      <w:r>
        <w:t xml:space="preserve">Mexican Migration Project</w:t>
      </w:r>
      <w:r>
        <w:t xml:space="preserve">.”</w:t>
      </w:r>
      <w:r>
        <w:t xml:space="preserve"> </w:t>
      </w:r>
      <w:r>
        <w:rPr>
          <w:iCs/>
          <w:i/>
        </w:rPr>
        <w:t xml:space="preserve">The ANNALS of the American Academy of Political and Social Science</w:t>
      </w:r>
      <w:r>
        <w:t xml:space="preserve"> </w:t>
      </w:r>
      <w:r>
        <w:t xml:space="preserve">684 (1): 21–42.</w:t>
      </w:r>
      <w:r>
        <w:t xml:space="preserve"> </w:t>
      </w:r>
      <w:hyperlink r:id="rId69">
        <w:r>
          <w:rPr>
            <w:rStyle w:val="Hyperlink"/>
          </w:rPr>
          <w:t xml:space="preserve">https://doi.org/10.1177/0002716219857667</w:t>
        </w:r>
      </w:hyperlink>
      <w:r>
        <w:t xml:space="preserve">.</w:t>
      </w:r>
    </w:p>
    <w:bookmarkEnd w:id="70"/>
    <w:bookmarkStart w:id="72" w:name="ref-durand_2000_changing"/>
    <w:p>
      <w:pPr>
        <w:pStyle w:val="Bibliography"/>
      </w:pPr>
      <w:r>
        <w:t xml:space="preserve">Durand, Jorge, Douglas S. Massey, and Fernando Charvet. 2000.</w:t>
      </w:r>
      <w:r>
        <w:t xml:space="preserve"> </w:t>
      </w:r>
      <w:r>
        <w:t xml:space="preserve">“The</w:t>
      </w:r>
      <w:r>
        <w:t xml:space="preserve"> </w:t>
      </w:r>
      <w:r>
        <w:t xml:space="preserve">Changing Geography</w:t>
      </w:r>
      <w:r>
        <w:t xml:space="preserve"> </w:t>
      </w:r>
      <w:r>
        <w:t xml:space="preserve">of</w:t>
      </w:r>
      <w:r>
        <w:t xml:space="preserve"> </w:t>
      </w:r>
      <w:r>
        <w:t xml:space="preserve">Mexican Immigration</w:t>
      </w:r>
      <w:r>
        <w:t xml:space="preserve"> </w:t>
      </w:r>
      <w:r>
        <w:t xml:space="preserve">to the</w:t>
      </w:r>
      <w:r>
        <w:t xml:space="preserve"> </w:t>
      </w:r>
      <w:r>
        <w:t xml:space="preserve">United States</w:t>
      </w:r>
      <w:r>
        <w:t xml:space="preserve">: 1910-1996.”</w:t>
      </w:r>
      <w:r>
        <w:t xml:space="preserve"> </w:t>
      </w:r>
      <w:r>
        <w:rPr>
          <w:iCs/>
          <w:i/>
        </w:rPr>
        <w:t xml:space="preserve">Social Science Quarterly</w:t>
      </w:r>
      <w:r>
        <w:t xml:space="preserve"> </w:t>
      </w:r>
      <w:r>
        <w:t xml:space="preserve">81 (1): 1–15.</w:t>
      </w:r>
      <w:r>
        <w:t xml:space="preserve"> </w:t>
      </w:r>
      <w:hyperlink r:id="rId71">
        <w:r>
          <w:rPr>
            <w:rStyle w:val="Hyperlink"/>
          </w:rPr>
          <w:t xml:space="preserve">https://www.jstor.org/stable/42864364</w:t>
        </w:r>
      </w:hyperlink>
      <w:r>
        <w:t xml:space="preserve">.</w:t>
      </w:r>
    </w:p>
    <w:bookmarkEnd w:id="72"/>
    <w:bookmarkStart w:id="73" w:name="ref-edwards_2013"/>
    <w:p>
      <w:pPr>
        <w:pStyle w:val="Bibliography"/>
      </w:pPr>
      <w:r>
        <w:t xml:space="preserve">Edwards, Benjamin P. 2013.</w:t>
      </w:r>
      <w:r>
        <w:t xml:space="preserve"> </w:t>
      </w:r>
      <w:r>
        <w:t xml:space="preserve">“Welcoming a</w:t>
      </w:r>
      <w:r>
        <w:t xml:space="preserve"> </w:t>
      </w:r>
      <w:r>
        <w:t xml:space="preserve">Post-DOMA World</w:t>
      </w:r>
      <w:r>
        <w:t xml:space="preserve">:</w:t>
      </w:r>
      <w:r>
        <w:t xml:space="preserve"> </w:t>
      </w:r>
      <w:r>
        <w:t xml:space="preserve">Same-Sex Spousal Petitions</w:t>
      </w:r>
      <w:r>
        <w:t xml:space="preserve"> </w:t>
      </w:r>
      <w:r>
        <w:t xml:space="preserve">and</w:t>
      </w:r>
      <w:r>
        <w:t xml:space="preserve"> </w:t>
      </w:r>
      <w:r>
        <w:t xml:space="preserve">Other Post-Windsor Immigration Implications</w:t>
      </w:r>
      <w:r>
        <w:t xml:space="preserve">.”</w:t>
      </w:r>
      <w:r>
        <w:t xml:space="preserve"> </w:t>
      </w:r>
      <w:r>
        <w:rPr>
          <w:iCs/>
          <w:i/>
        </w:rPr>
        <w:t xml:space="preserve">Family Law Quarterly</w:t>
      </w:r>
      <w:r>
        <w:t xml:space="preserve"> </w:t>
      </w:r>
      <w:r>
        <w:t xml:space="preserve">47 (2): 173–89.</w:t>
      </w:r>
    </w:p>
    <w:bookmarkEnd w:id="73"/>
    <w:bookmarkStart w:id="75" w:name="ref-el-tayeb_2012_gays"/>
    <w:p>
      <w:pPr>
        <w:pStyle w:val="Bibliography"/>
      </w:pPr>
      <w:r>
        <w:t xml:space="preserve">El-Tayeb, Fatima. 2012.</w:t>
      </w:r>
      <w:r>
        <w:t xml:space="preserve"> </w:t>
      </w:r>
      <w:r>
        <w:t xml:space="preserve">“</w:t>
      </w:r>
      <w:r>
        <w:t xml:space="preserve">‘</w:t>
      </w:r>
      <w:r>
        <w:t xml:space="preserve">Gays</w:t>
      </w:r>
      <w:r>
        <w:t xml:space="preserve"> </w:t>
      </w:r>
      <w:r>
        <w:t xml:space="preserve">Who Cannot Properly Be Gay’</w:t>
      </w:r>
      <w:r>
        <w:t xml:space="preserve">:</w:t>
      </w:r>
      <w:r>
        <w:t xml:space="preserve"> </w:t>
      </w:r>
      <w:r>
        <w:t xml:space="preserve">Queer Muslims</w:t>
      </w:r>
      <w:r>
        <w:t xml:space="preserve"> </w:t>
      </w:r>
      <w:r>
        <w:t xml:space="preserve">in the Neoliberal</w:t>
      </w:r>
      <w:r>
        <w:t xml:space="preserve"> </w:t>
      </w:r>
      <w:r>
        <w:t xml:space="preserve">European</w:t>
      </w:r>
      <w:r>
        <w:t xml:space="preserve"> </w:t>
      </w:r>
      <w:r>
        <w:t xml:space="preserve">City.”</w:t>
      </w:r>
      <w:r>
        <w:t xml:space="preserve"> </w:t>
      </w:r>
      <w:r>
        <w:rPr>
          <w:iCs/>
          <w:i/>
        </w:rPr>
        <w:t xml:space="preserve">European Journal of Women’s Studies</w:t>
      </w:r>
      <w:r>
        <w:t xml:space="preserve"> </w:t>
      </w:r>
      <w:r>
        <w:t xml:space="preserve">19 (1): 79–95.</w:t>
      </w:r>
      <w:r>
        <w:t xml:space="preserve"> </w:t>
      </w:r>
      <w:hyperlink r:id="rId74">
        <w:r>
          <w:rPr>
            <w:rStyle w:val="Hyperlink"/>
          </w:rPr>
          <w:t xml:space="preserve">https://doi.org/10.1177/1350506811426388</w:t>
        </w:r>
      </w:hyperlink>
      <w:r>
        <w:t xml:space="preserve">.</w:t>
      </w:r>
    </w:p>
    <w:bookmarkEnd w:id="75"/>
    <w:bookmarkStart w:id="77" w:name="ref-flippen_2021_new"/>
    <w:p>
      <w:pPr>
        <w:pStyle w:val="Bibliography"/>
      </w:pPr>
      <w:r>
        <w:t xml:space="preserve">Flippen, Chenoa A., and Dylan Farrell-Bryan. 2021.</w:t>
      </w:r>
      <w:r>
        <w:t xml:space="preserve"> </w:t>
      </w:r>
      <w:r>
        <w:t xml:space="preserve">“New</w:t>
      </w:r>
      <w:r>
        <w:t xml:space="preserve"> </w:t>
      </w:r>
      <w:r>
        <w:t xml:space="preserve">Destinations</w:t>
      </w:r>
      <w:r>
        <w:t xml:space="preserve"> </w:t>
      </w:r>
      <w:r>
        <w:t xml:space="preserve">and the</w:t>
      </w:r>
      <w:r>
        <w:t xml:space="preserve"> </w:t>
      </w:r>
      <w:r>
        <w:t xml:space="preserve">Changing Geography</w:t>
      </w:r>
      <w:r>
        <w:t xml:space="preserve"> </w:t>
      </w:r>
      <w:r>
        <w:t xml:space="preserve">of</w:t>
      </w:r>
      <w:r>
        <w:t xml:space="preserve"> </w:t>
      </w:r>
      <w:r>
        <w:t xml:space="preserve">Immigrant Incorporation</w:t>
      </w:r>
      <w:r>
        <w:t xml:space="preserve">.”</w:t>
      </w:r>
      <w:r>
        <w:t xml:space="preserve"> </w:t>
      </w:r>
      <w:r>
        <w:rPr>
          <w:iCs/>
          <w:i/>
        </w:rPr>
        <w:t xml:space="preserve">Annual Review of Sociology</w:t>
      </w:r>
      <w:r>
        <w:t xml:space="preserve"> </w:t>
      </w:r>
      <w:r>
        <w:t xml:space="preserve">47 (1): null.</w:t>
      </w:r>
      <w:r>
        <w:t xml:space="preserve"> </w:t>
      </w:r>
      <w:hyperlink r:id="rId76">
        <w:r>
          <w:rPr>
            <w:rStyle w:val="Hyperlink"/>
          </w:rPr>
          <w:t xml:space="preserve">https://doi.org/10.1146/annurev-soc-090320-100926</w:t>
        </w:r>
      </w:hyperlink>
      <w:r>
        <w:t xml:space="preserve">.</w:t>
      </w:r>
    </w:p>
    <w:bookmarkEnd w:id="77"/>
    <w:bookmarkStart w:id="79" w:name="ref-florida_2003_cities"/>
    <w:p>
      <w:pPr>
        <w:pStyle w:val="Bibliography"/>
      </w:pPr>
      <w:r>
        <w:t xml:space="preserve">Florida, Richard. 2003.</w:t>
      </w:r>
      <w:r>
        <w:t xml:space="preserve"> </w:t>
      </w:r>
      <w:r>
        <w:t xml:space="preserve">“Cities and the</w:t>
      </w:r>
      <w:r>
        <w:t xml:space="preserve"> </w:t>
      </w:r>
      <w:r>
        <w:t xml:space="preserve">Creative Class</w:t>
      </w:r>
      <w:r>
        <w:t xml:space="preserve">.”</w:t>
      </w:r>
      <w:r>
        <w:t xml:space="preserve"> </w:t>
      </w:r>
      <w:r>
        <w:rPr>
          <w:iCs/>
          <w:i/>
        </w:rPr>
        <w:t xml:space="preserve">City &amp; Community</w:t>
      </w:r>
      <w:r>
        <w:t xml:space="preserve"> </w:t>
      </w:r>
      <w:r>
        <w:t xml:space="preserve">2 (1): 3–19.</w:t>
      </w:r>
      <w:r>
        <w:t xml:space="preserve"> </w:t>
      </w:r>
      <w:hyperlink r:id="rId78">
        <w:r>
          <w:rPr>
            <w:rStyle w:val="Hyperlink"/>
          </w:rPr>
          <w:t xml:space="preserve">https://doi.org/10.1111/1540-6040.00034</w:t>
        </w:r>
      </w:hyperlink>
      <w:r>
        <w:t xml:space="preserve">.</w:t>
      </w:r>
    </w:p>
    <w:bookmarkEnd w:id="79"/>
    <w:bookmarkStart w:id="80" w:name="ref-gates_2013"/>
    <w:p>
      <w:pPr>
        <w:pStyle w:val="Bibliography"/>
      </w:pPr>
      <w:r>
        <w:t xml:space="preserve">Gates, Gary J. 2013.</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80"/>
    <w:bookmarkStart w:id="81" w:name="ref-gates_2009"/>
    <w:p>
      <w:pPr>
        <w:pStyle w:val="Bibliography"/>
      </w:pPr>
      <w:r>
        <w:t xml:space="preserve">Gates, Gary J., and Michael D. Steinberger. 2009.</w:t>
      </w:r>
      <w:r>
        <w:t xml:space="preserve"> </w:t>
      </w:r>
      <w:r>
        <w:t xml:space="preserve">“Same-Sex Unmarried Partner Couples in the</w:t>
      </w:r>
      <w:r>
        <w:t xml:space="preserve"> </w:t>
      </w:r>
      <w:r>
        <w:t xml:space="preserve">American Community Survey</w:t>
      </w:r>
      <w:r>
        <w:t xml:space="preserve">:</w:t>
      </w:r>
      <w:r>
        <w:t xml:space="preserve"> </w:t>
      </w:r>
      <w:r>
        <w:t xml:space="preserve">The</w:t>
      </w:r>
      <w:r>
        <w:t xml:space="preserve"> </w:t>
      </w:r>
      <w:r>
        <w:t xml:space="preserve">Role of Misreporting, Miscoding and Misallocation.”</w:t>
      </w:r>
      <w:r>
        <w:t xml:space="preserve"> </w:t>
      </w:r>
      <w:r>
        <w:t xml:space="preserve">In</w:t>
      </w:r>
      <w:r>
        <w:t xml:space="preserve"> </w:t>
      </w:r>
      <w:r>
        <w:rPr>
          <w:iCs/>
          <w:i/>
        </w:rPr>
        <w:t xml:space="preserve">Annual Meetings of the Population Association of America, Detroit,</w:t>
      </w:r>
      <w:r>
        <w:rPr>
          <w:iCs/>
          <w:i/>
        </w:rPr>
        <w:t xml:space="preserve"> </w:t>
      </w:r>
      <w:r>
        <w:rPr>
          <w:iCs/>
          <w:i/>
        </w:rPr>
        <w:t xml:space="preserve">MI</w:t>
      </w:r>
      <w:r>
        <w:t xml:space="preserve">.</w:t>
      </w:r>
    </w:p>
    <w:bookmarkEnd w:id="81"/>
    <w:bookmarkStart w:id="83" w:name="ref-ghaziani_2016_there"/>
    <w:p>
      <w:pPr>
        <w:pStyle w:val="Bibliography"/>
      </w:pPr>
      <w:r>
        <w:t xml:space="preserve">Ghaziani, Amin. 2016.</w:t>
      </w:r>
      <w:r>
        <w:t xml:space="preserve"> </w:t>
      </w:r>
      <w:r>
        <w:rPr>
          <w:iCs/>
          <w:i/>
        </w:rPr>
        <w:t xml:space="preserve">There</w:t>
      </w:r>
      <w:r>
        <w:rPr>
          <w:iCs/>
          <w:i/>
        </w:rPr>
        <w:t xml:space="preserve"> </w:t>
      </w:r>
      <w:r>
        <w:rPr>
          <w:iCs/>
          <w:i/>
        </w:rPr>
        <w:t xml:space="preserve">Goes</w:t>
      </w:r>
      <w:r>
        <w:rPr>
          <w:iCs/>
          <w:i/>
        </w:rPr>
        <w:t xml:space="preserve"> </w:t>
      </w:r>
      <w:r>
        <w:rPr>
          <w:iCs/>
          <w:i/>
        </w:rPr>
        <w:t xml:space="preserve">the</w:t>
      </w:r>
      <w:r>
        <w:rPr>
          <w:iCs/>
          <w:i/>
        </w:rPr>
        <w:t xml:space="preserve"> </w:t>
      </w:r>
      <w:r>
        <w:rPr>
          <w:iCs/>
          <w:i/>
        </w:rPr>
        <w:t xml:space="preserve">Gayborhood</w:t>
      </w:r>
      <w:r>
        <w:rPr>
          <w:iCs/>
          <w:i/>
        </w:rPr>
        <w:t xml:space="preserve">?:</w:t>
      </w:r>
      <w:r>
        <w:t xml:space="preserve"> Princeton University Press.</w:t>
      </w:r>
      <w:r>
        <w:t xml:space="preserve"> </w:t>
      </w:r>
      <w:hyperlink r:id="rId82">
        <w:r>
          <w:rPr>
            <w:rStyle w:val="Hyperlink"/>
          </w:rPr>
          <w:t xml:space="preserve">https://doi.org/10.1515/9781400850174</w:t>
        </w:r>
      </w:hyperlink>
      <w:r>
        <w:t xml:space="preserve">.</w:t>
      </w:r>
    </w:p>
    <w:bookmarkEnd w:id="83"/>
    <w:bookmarkStart w:id="84" w:name="ref-goldberg_2021"/>
    <w:p>
      <w:pPr>
        <w:pStyle w:val="Bibliography"/>
      </w:pPr>
      <w:r>
        <w:t xml:space="preserve">Goldberg, Shoshana K., and Kerith J. Conron. 2021.</w:t>
      </w:r>
      <w:r>
        <w:t xml:space="preserve"> </w:t>
      </w:r>
      <w:r>
        <w:t xml:space="preserve">“</w:t>
      </w:r>
      <w:r>
        <w:t xml:space="preserve">LGBT Adult Immigrants</w:t>
      </w:r>
      <w:r>
        <w:t xml:space="preserve"> </w:t>
      </w:r>
      <w:r>
        <w:t xml:space="preserve">in the</w:t>
      </w:r>
      <w:r>
        <w:t xml:space="preserve"> </w:t>
      </w:r>
      <w:r>
        <w:t xml:space="preserve">United States</w:t>
      </w:r>
      <w:r>
        <w:t xml:space="preserve">.”</w:t>
      </w:r>
      <w:r>
        <w:t xml:space="preserve"> </w:t>
      </w:r>
      <w:r>
        <w:t xml:space="preserve">UCLA: The Williams Institute.</w:t>
      </w:r>
    </w:p>
    <w:bookmarkEnd w:id="84"/>
    <w:bookmarkStart w:id="85" w:name="ref-goodnature_2021"/>
    <w:p>
      <w:pPr>
        <w:pStyle w:val="Bibliography"/>
      </w:pPr>
      <w:r>
        <w:t xml:space="preserve">Goodnature, Mia, and Amir B. Ferreira Neto. 2021.</w:t>
      </w:r>
      <w:r>
        <w:t xml:space="preserve"> </w:t>
      </w:r>
      <w:r>
        <w:t xml:space="preserve">“Same-</w:t>
      </w:r>
      <w:r>
        <w:t xml:space="preserve">Sex Unmarried Partners</w:t>
      </w:r>
      <w:r>
        <w:t xml:space="preserve"> </w:t>
      </w:r>
      <w:r>
        <w:t xml:space="preserve">in the</w:t>
      </w:r>
      <w:r>
        <w:t xml:space="preserve"> </w:t>
      </w:r>
      <w:r>
        <w:t xml:space="preserve">Census</w:t>
      </w:r>
      <w:r>
        <w:t xml:space="preserve">.”</w:t>
      </w:r>
      <w:r>
        <w:t xml:space="preserve"> </w:t>
      </w:r>
      <w:r>
        <w:rPr>
          <w:iCs/>
          <w:i/>
        </w:rPr>
        <w:t xml:space="preserve">Journal of Regional Analysis &amp; Policy</w:t>
      </w:r>
      <w:r>
        <w:t xml:space="preserve"> </w:t>
      </w:r>
      <w:r>
        <w:t xml:space="preserve">51 (1): 43–66.</w:t>
      </w:r>
    </w:p>
    <w:bookmarkEnd w:id="85"/>
    <w:bookmarkStart w:id="86" w:name="ref-gordon_1964_assimilation"/>
    <w:p>
      <w:pPr>
        <w:pStyle w:val="Bibliography"/>
      </w:pPr>
      <w:r>
        <w:t xml:space="preserve">Gordon, Milton M. 1964.</w:t>
      </w:r>
      <w:r>
        <w:t xml:space="preserve"> </w:t>
      </w:r>
      <w:r>
        <w:rPr>
          <w:iCs/>
          <w:i/>
        </w:rPr>
        <w:t xml:space="preserve">Assimilation in</w:t>
      </w:r>
      <w:r>
        <w:rPr>
          <w:iCs/>
          <w:i/>
        </w:rPr>
        <w:t xml:space="preserve"> </w:t>
      </w:r>
      <w:r>
        <w:rPr>
          <w:iCs/>
          <w:i/>
        </w:rPr>
        <w:t xml:space="preserve">American Life</w:t>
      </w:r>
      <w:r>
        <w:t xml:space="preserve">. Oxford: Oxford University Press.</w:t>
      </w:r>
    </w:p>
    <w:bookmarkEnd w:id="86"/>
    <w:bookmarkStart w:id="88" w:name="ref-gorman-murray_2009"/>
    <w:p>
      <w:pPr>
        <w:pStyle w:val="Bibliography"/>
      </w:pPr>
      <w:r>
        <w:t xml:space="preserve">Gorman-Murray, Andrew. 2009.</w:t>
      </w:r>
      <w:r>
        <w:t xml:space="preserve"> </w:t>
      </w:r>
      <w:r>
        <w:t xml:space="preserve">“Intimate Mobilities:</w:t>
      </w:r>
      <w:r>
        <w:t xml:space="preserve"> </w:t>
      </w:r>
      <w:r>
        <w:t xml:space="preserve">Emotional</w:t>
      </w:r>
      <w:r>
        <w:t xml:space="preserve"> </w:t>
      </w:r>
      <w:r>
        <w:t xml:space="preserve">Embodiment and Queer Migration.”</w:t>
      </w:r>
      <w:r>
        <w:t xml:space="preserve"> </w:t>
      </w:r>
      <w:r>
        <w:rPr>
          <w:iCs/>
          <w:i/>
        </w:rPr>
        <w:t xml:space="preserve">Social &amp; Cultural Geography</w:t>
      </w:r>
      <w:r>
        <w:t xml:space="preserve"> </w:t>
      </w:r>
      <w:r>
        <w:t xml:space="preserve">10 (4): 441–60.</w:t>
      </w:r>
      <w:r>
        <w:t xml:space="preserve"> </w:t>
      </w:r>
      <w:hyperlink r:id="rId87">
        <w:r>
          <w:rPr>
            <w:rStyle w:val="Hyperlink"/>
          </w:rPr>
          <w:t xml:space="preserve">https://doi.org/10.1080/14649360902853262</w:t>
        </w:r>
      </w:hyperlink>
      <w:r>
        <w:t xml:space="preserve">.</w:t>
      </w:r>
    </w:p>
    <w:bookmarkEnd w:id="88"/>
    <w:bookmarkStart w:id="90" w:name="ref-hall_2013_residential"/>
    <w:p>
      <w:pPr>
        <w:pStyle w:val="Bibliography"/>
      </w:pPr>
      <w:r>
        <w:t xml:space="preserve">Hall, Matthew. 2013.</w:t>
      </w:r>
      <w:r>
        <w:t xml:space="preserve"> </w:t>
      </w:r>
      <w:r>
        <w:t xml:space="preserve">“Residential</w:t>
      </w:r>
      <w:r>
        <w:t xml:space="preserve"> </w:t>
      </w:r>
      <w:r>
        <w:t xml:space="preserve">Integration</w:t>
      </w:r>
      <w:r>
        <w:t xml:space="preserve"> </w:t>
      </w:r>
      <w:r>
        <w:t xml:space="preserve">on the</w:t>
      </w:r>
      <w:r>
        <w:t xml:space="preserve"> </w:t>
      </w:r>
      <w:r>
        <w:t xml:space="preserve">New Frontier</w:t>
      </w:r>
      <w:r>
        <w:t xml:space="preserve">:</w:t>
      </w:r>
      <w:r>
        <w:t xml:space="preserve"> </w:t>
      </w:r>
      <w:r>
        <w:t xml:space="preserve">Immigrant Segregation</w:t>
      </w:r>
      <w:r>
        <w:t xml:space="preserve"> </w:t>
      </w:r>
      <w:r>
        <w:t xml:space="preserve">in</w:t>
      </w:r>
      <w:r>
        <w:t xml:space="preserve"> </w:t>
      </w:r>
      <w:r>
        <w:t xml:space="preserve">Established</w:t>
      </w:r>
      <w:r>
        <w:t xml:space="preserve"> </w:t>
      </w:r>
      <w:r>
        <w:t xml:space="preserve">and</w:t>
      </w:r>
      <w:r>
        <w:t xml:space="preserve"> </w:t>
      </w:r>
      <w:r>
        <w:t xml:space="preserve">New Destinations</w:t>
      </w:r>
      <w:r>
        <w:t xml:space="preserve">.”</w:t>
      </w:r>
      <w:r>
        <w:t xml:space="preserve"> </w:t>
      </w:r>
      <w:r>
        <w:rPr>
          <w:iCs/>
          <w:i/>
        </w:rPr>
        <w:t xml:space="preserve">Demography</w:t>
      </w:r>
      <w:r>
        <w:t xml:space="preserve"> </w:t>
      </w:r>
      <w:r>
        <w:t xml:space="preserve">50 (5): 1873–96.</w:t>
      </w:r>
      <w:r>
        <w:t xml:space="preserve"> </w:t>
      </w:r>
      <w:hyperlink r:id="rId89">
        <w:r>
          <w:rPr>
            <w:rStyle w:val="Hyperlink"/>
          </w:rPr>
          <w:t xml:space="preserve">https://doi.org/10.1007/s13524-012-0177-x</w:t>
        </w:r>
      </w:hyperlink>
      <w:r>
        <w:t xml:space="preserve">.</w:t>
      </w:r>
    </w:p>
    <w:bookmarkEnd w:id="90"/>
    <w:bookmarkStart w:id="92" w:name="ref-hatton_2005a"/>
    <w:p>
      <w:pPr>
        <w:pStyle w:val="Bibliography"/>
      </w:pPr>
      <w:r>
        <w:t xml:space="preserve">Hatton, Timothy J., and Jeffrey G. Williamson. 2005.</w:t>
      </w:r>
      <w:r>
        <w:t xml:space="preserve"> </w:t>
      </w:r>
      <w:r>
        <w:rPr>
          <w:iCs/>
          <w:i/>
        </w:rPr>
        <w:t xml:space="preserve">Global</w:t>
      </w:r>
      <w:r>
        <w:rPr>
          <w:iCs/>
          <w:i/>
        </w:rPr>
        <w:t xml:space="preserve"> </w:t>
      </w:r>
      <w:r>
        <w:rPr>
          <w:iCs/>
          <w:i/>
        </w:rPr>
        <w:t xml:space="preserve">Migration</w:t>
      </w:r>
      <w:r>
        <w:rPr>
          <w:iCs/>
          <w:i/>
        </w:rPr>
        <w:t xml:space="preserve"> </w:t>
      </w:r>
      <w:r>
        <w:rPr>
          <w:iCs/>
          <w:i/>
        </w:rPr>
        <w:t xml:space="preserve">and the</w:t>
      </w:r>
      <w:r>
        <w:rPr>
          <w:iCs/>
          <w:i/>
        </w:rPr>
        <w:t xml:space="preserve"> </w:t>
      </w:r>
      <w:r>
        <w:rPr>
          <w:iCs/>
          <w:i/>
        </w:rPr>
        <w:t xml:space="preserve">World Economy</w:t>
      </w:r>
      <w:r>
        <w:rPr>
          <w:iCs/>
          <w:i/>
        </w:rPr>
        <w:t xml:space="preserve">:</w:t>
      </w:r>
      <w:r>
        <w:rPr>
          <w:iCs/>
          <w:i/>
        </w:rPr>
        <w:t xml:space="preserve"> </w:t>
      </w:r>
      <w:r>
        <w:rPr>
          <w:iCs/>
          <w:i/>
        </w:rPr>
        <w:t xml:space="preserve">Two Centuries</w:t>
      </w:r>
      <w:r>
        <w:rPr>
          <w:iCs/>
          <w:i/>
        </w:rPr>
        <w:t xml:space="preserve"> </w:t>
      </w:r>
      <w:r>
        <w:rPr>
          <w:iCs/>
          <w:i/>
        </w:rPr>
        <w:t xml:space="preserve">of</w:t>
      </w:r>
      <w:r>
        <w:rPr>
          <w:iCs/>
          <w:i/>
        </w:rPr>
        <w:t xml:space="preserve"> </w:t>
      </w:r>
      <w:r>
        <w:rPr>
          <w:iCs/>
          <w:i/>
        </w:rPr>
        <w:t xml:space="preserve">Policy</w:t>
      </w:r>
      <w:r>
        <w:rPr>
          <w:iCs/>
          <w:i/>
        </w:rPr>
        <w:t xml:space="preserve"> </w:t>
      </w:r>
      <w:r>
        <w:rPr>
          <w:iCs/>
          <w:i/>
        </w:rPr>
        <w:t xml:space="preserve">and</w:t>
      </w:r>
      <w:r>
        <w:rPr>
          <w:iCs/>
          <w:i/>
        </w:rPr>
        <w:t xml:space="preserve"> </w:t>
      </w:r>
      <w:r>
        <w:rPr>
          <w:iCs/>
          <w:i/>
        </w:rPr>
        <w:t xml:space="preserve">Performance</w:t>
      </w:r>
      <w:r>
        <w:t xml:space="preserve">. The MIT Press.</w:t>
      </w:r>
      <w:r>
        <w:t xml:space="preserve"> </w:t>
      </w:r>
      <w:hyperlink r:id="rId91">
        <w:r>
          <w:rPr>
            <w:rStyle w:val="Hyperlink"/>
          </w:rPr>
          <w:t xml:space="preserve">https://doi.org/10.7551/mitpress/3303.001.0001</w:t>
        </w:r>
      </w:hyperlink>
      <w:r>
        <w:t xml:space="preserve">.</w:t>
      </w:r>
    </w:p>
    <w:bookmarkEnd w:id="92"/>
    <w:bookmarkStart w:id="94" w:name="ref-hauser_1997_socioeconomic"/>
    <w:p>
      <w:pPr>
        <w:pStyle w:val="Bibliography"/>
      </w:pPr>
      <w:r>
        <w:t xml:space="preserve">Hauser, Robert M., and John Robert Warren. 1997.</w:t>
      </w:r>
      <w:r>
        <w:t xml:space="preserve"> </w:t>
      </w:r>
      <w:r>
        <w:t xml:space="preserve">“Socioeconomic</w:t>
      </w:r>
      <w:r>
        <w:t xml:space="preserve"> </w:t>
      </w:r>
      <w:r>
        <w:t xml:space="preserve">Indexes</w:t>
      </w:r>
      <w:r>
        <w:t xml:space="preserve"> </w:t>
      </w:r>
      <w:r>
        <w:t xml:space="preserve">for</w:t>
      </w:r>
      <w:r>
        <w:t xml:space="preserve"> </w:t>
      </w:r>
      <w:r>
        <w:t xml:space="preserve">Occupations</w:t>
      </w:r>
      <w:r>
        <w:t xml:space="preserve">:</w:t>
      </w:r>
      <w:r>
        <w:t xml:space="preserve"> </w:t>
      </w:r>
      <w:r>
        <w:t xml:space="preserve">A Review</w:t>
      </w:r>
      <w:r>
        <w:t xml:space="preserve">,</w:t>
      </w:r>
      <w:r>
        <w:t xml:space="preserve"> </w:t>
      </w:r>
      <w:r>
        <w:t xml:space="preserve">Update</w:t>
      </w:r>
      <w:r>
        <w:t xml:space="preserve">, and</w:t>
      </w:r>
      <w:r>
        <w:t xml:space="preserve"> </w:t>
      </w:r>
      <w:r>
        <w:t xml:space="preserve">Critique</w:t>
      </w:r>
      <w:r>
        <w:t xml:space="preserve">.”</w:t>
      </w:r>
      <w:r>
        <w:t xml:space="preserve"> </w:t>
      </w:r>
      <w:r>
        <w:rPr>
          <w:iCs/>
          <w:i/>
        </w:rPr>
        <w:t xml:space="preserve">Sociological Methodology</w:t>
      </w:r>
      <w:r>
        <w:t xml:space="preserve"> </w:t>
      </w:r>
      <w:r>
        <w:t xml:space="preserve">27: 177–298.</w:t>
      </w:r>
      <w:r>
        <w:t xml:space="preserve"> </w:t>
      </w:r>
      <w:hyperlink r:id="rId93">
        <w:r>
          <w:rPr>
            <w:rStyle w:val="Hyperlink"/>
          </w:rPr>
          <w:t xml:space="preserve">https://www.jstor.org/stable/271107</w:t>
        </w:r>
      </w:hyperlink>
      <w:r>
        <w:t xml:space="preserve">.</w:t>
      </w:r>
    </w:p>
    <w:bookmarkEnd w:id="94"/>
    <w:bookmarkStart w:id="96" w:name="ref-hayslett_2011_out"/>
    <w:p>
      <w:pPr>
        <w:pStyle w:val="Bibliography"/>
      </w:pPr>
      <w:r>
        <w:t xml:space="preserve">Hayslett, Karen L., and Melinda D. Kane. 2011.</w:t>
      </w:r>
      <w:r>
        <w:t xml:space="preserve"> </w:t>
      </w:r>
      <w:r>
        <w:t xml:space="preserve">“</w:t>
      </w:r>
      <w:r>
        <w:t xml:space="preserve">‘</w:t>
      </w:r>
      <w:r>
        <w:t xml:space="preserve">Out</w:t>
      </w:r>
      <w:r>
        <w:t xml:space="preserve">’</w:t>
      </w:r>
      <w:r>
        <w:t xml:space="preserve"> </w:t>
      </w:r>
      <w:r>
        <w:t xml:space="preserve">in</w:t>
      </w:r>
      <w:r>
        <w:t xml:space="preserve"> </w:t>
      </w:r>
      <w:r>
        <w:t xml:space="preserve">Columbus</w:t>
      </w:r>
      <w:r>
        <w:t xml:space="preserve">:</w:t>
      </w:r>
      <w:r>
        <w:t xml:space="preserve"> </w:t>
      </w:r>
      <w:r>
        <w:t xml:space="preserve">A Geospatial Analysis</w:t>
      </w:r>
      <w:r>
        <w:t xml:space="preserve"> </w:t>
      </w:r>
      <w:r>
        <w:t xml:space="preserve">of the</w:t>
      </w:r>
      <w:r>
        <w:t xml:space="preserve"> </w:t>
      </w:r>
      <w:r>
        <w:t xml:space="preserve">Neighborhood</w:t>
      </w:r>
      <w:r>
        <w:t xml:space="preserve">–</w:t>
      </w:r>
      <w:r>
        <w:t xml:space="preserve">Level Distribution</w:t>
      </w:r>
      <w:r>
        <w:t xml:space="preserve"> </w:t>
      </w:r>
      <w:r>
        <w:t xml:space="preserve">of</w:t>
      </w:r>
      <w:r>
        <w:t xml:space="preserve"> </w:t>
      </w:r>
      <w:r>
        <w:t xml:space="preserve">Gay</w:t>
      </w:r>
      <w:r>
        <w:t xml:space="preserve"> </w:t>
      </w:r>
      <w:r>
        <w:t xml:space="preserve">and</w:t>
      </w:r>
      <w:r>
        <w:t xml:space="preserve"> </w:t>
      </w:r>
      <w:r>
        <w:t xml:space="preserve">Lesbian Households</w:t>
      </w:r>
      <w:r>
        <w:t xml:space="preserve">.”</w:t>
      </w:r>
      <w:r>
        <w:t xml:space="preserve"> </w:t>
      </w:r>
      <w:r>
        <w:rPr>
          <w:iCs/>
          <w:i/>
        </w:rPr>
        <w:t xml:space="preserve">City &amp; Community</w:t>
      </w:r>
      <w:r>
        <w:t xml:space="preserve"> </w:t>
      </w:r>
      <w:r>
        <w:t xml:space="preserve">10 (2): 131–56.</w:t>
      </w:r>
      <w:r>
        <w:t xml:space="preserve"> </w:t>
      </w:r>
      <w:hyperlink r:id="rId95">
        <w:r>
          <w:rPr>
            <w:rStyle w:val="Hyperlink"/>
          </w:rPr>
          <w:t xml:space="preserve">https://doi.org/10.1111/j.1540-6040.2010.01353.x</w:t>
        </w:r>
      </w:hyperlink>
      <w:r>
        <w:t xml:space="preserve">.</w:t>
      </w:r>
    </w:p>
    <w:bookmarkEnd w:id="96"/>
    <w:bookmarkStart w:id="98" w:name="ref-held_2023_queer"/>
    <w:p>
      <w:pPr>
        <w:pStyle w:val="Bibliography"/>
      </w:pPr>
      <w:r>
        <w:t xml:space="preserve">Held, Nina. 2023.</w:t>
      </w:r>
      <w:r>
        <w:t xml:space="preserve"> </w:t>
      </w:r>
      <w:r>
        <w:t xml:space="preserve">“</w:t>
      </w:r>
      <w:r>
        <w:t xml:space="preserve">‘</w:t>
      </w:r>
      <w:r>
        <w:t xml:space="preserve">As</w:t>
      </w:r>
      <w:r>
        <w:t xml:space="preserve"> </w:t>
      </w:r>
      <w:r>
        <w:t xml:space="preserve">Queer Refugees, We Are Out of Category, We Do Not Belong to One, or the Other’</w:t>
      </w:r>
      <w:r>
        <w:t xml:space="preserve">:</w:t>
      </w:r>
      <w:r>
        <w:t xml:space="preserve"> </w:t>
      </w:r>
      <w:r>
        <w:t xml:space="preserve">LGBTIQ</w:t>
      </w:r>
      <w:r>
        <w:t xml:space="preserve">+ Refugees’ Experiences in</w:t>
      </w:r>
      <w:r>
        <w:t xml:space="preserve"> </w:t>
      </w:r>
      <w:r>
        <w:t xml:space="preserve">‘Ambivalent’</w:t>
      </w:r>
      <w:r>
        <w:t xml:space="preserve"> </w:t>
      </w:r>
      <w:r>
        <w:t xml:space="preserve">Queer Spaces.”</w:t>
      </w:r>
      <w:r>
        <w:t xml:space="preserve"> </w:t>
      </w:r>
      <w:r>
        <w:rPr>
          <w:iCs/>
          <w:i/>
        </w:rPr>
        <w:t xml:space="preserve">Ethnic and Racial Studies</w:t>
      </w:r>
      <w:r>
        <w:t xml:space="preserve"> </w:t>
      </w:r>
      <w:r>
        <w:t xml:space="preserve">46 (9): 1898–918.</w:t>
      </w:r>
      <w:r>
        <w:t xml:space="preserve"> </w:t>
      </w:r>
      <w:hyperlink r:id="rId97">
        <w:r>
          <w:rPr>
            <w:rStyle w:val="Hyperlink"/>
          </w:rPr>
          <w:t xml:space="preserve">https://doi.org/10.1080/01419870.2022.2032246</w:t>
        </w:r>
      </w:hyperlink>
      <w:r>
        <w:t xml:space="preserve">.</w:t>
      </w:r>
    </w:p>
    <w:bookmarkEnd w:id="98"/>
    <w:bookmarkStart w:id="99" w:name="ref-hernandez-leon_2013"/>
    <w:p>
      <w:pPr>
        <w:pStyle w:val="Bibliography"/>
      </w:pPr>
      <w:r>
        <w:t xml:space="preserve">Hernández-León, Rubén. 2013.</w:t>
      </w:r>
      <w:r>
        <w:t xml:space="preserve"> </w:t>
      </w:r>
      <w:r>
        <w:t xml:space="preserve">“Conceptualizing the Migration Industry.”</w:t>
      </w:r>
      <w:r>
        <w:t xml:space="preserve"> </w:t>
      </w:r>
      <w:r>
        <w:t xml:space="preserve">In</w:t>
      </w:r>
      <w:r>
        <w:t xml:space="preserve"> </w:t>
      </w:r>
      <w:r>
        <w:rPr>
          <w:iCs/>
          <w:i/>
        </w:rPr>
        <w:t xml:space="preserve">The Migration Industry and the Commercialization of International Migration</w:t>
      </w:r>
      <w:r>
        <w:t xml:space="preserve">, edited by Thomas Gammeltoft-Hansen and Ninna Nyberg Sorensen, 42–62. Routledge.</w:t>
      </w:r>
    </w:p>
    <w:bookmarkEnd w:id="99"/>
    <w:bookmarkStart w:id="101" w:name="ref-hoffmann_2023_sexuality"/>
    <w:p>
      <w:pPr>
        <w:pStyle w:val="Bibliography"/>
      </w:pPr>
      <w:r>
        <w:t xml:space="preserve">Hoffmann, Nathan I., and Kristopher Velasco. 2023.</w:t>
      </w:r>
      <w:r>
        <w:t xml:space="preserve"> </w:t>
      </w:r>
      <w:r>
        <w:t xml:space="preserve">“Sexuality,</w:t>
      </w:r>
      <w:r>
        <w:t xml:space="preserve"> </w:t>
      </w:r>
      <w:r>
        <w:t xml:space="preserve">Migration</w:t>
      </w:r>
      <w:r>
        <w:t xml:space="preserve">, and</w:t>
      </w:r>
      <w:r>
        <w:t xml:space="preserve"> </w:t>
      </w:r>
      <w:r>
        <w:t xml:space="preserve">LGB Policy</w:t>
      </w:r>
      <w:r>
        <w:t xml:space="preserve">:</w:t>
      </w:r>
      <w:r>
        <w:t xml:space="preserve"> </w:t>
      </w:r>
      <w:r>
        <w:t xml:space="preserve">A Portrait</w:t>
      </w:r>
      <w:r>
        <w:t xml:space="preserve"> </w:t>
      </w:r>
      <w:r>
        <w:t xml:space="preserve">of</w:t>
      </w:r>
      <w:r>
        <w:t xml:space="preserve"> </w:t>
      </w:r>
      <w:r>
        <w:t xml:space="preserve">Immigrants</w:t>
      </w:r>
      <w:r>
        <w:t xml:space="preserve"> </w:t>
      </w:r>
      <w:r>
        <w:t xml:space="preserve">in</w:t>
      </w:r>
      <w:r>
        <w:t xml:space="preserve"> </w:t>
      </w:r>
      <w:r>
        <w:t xml:space="preserve">Same-Sex Couples</w:t>
      </w:r>
      <w:r>
        <w:t xml:space="preserve"> </w:t>
      </w:r>
      <w:r>
        <w:t xml:space="preserve">in the</w:t>
      </w:r>
      <w:r>
        <w:t xml:space="preserve"> </w:t>
      </w:r>
      <w:r>
        <w:t xml:space="preserve">United States</w:t>
      </w:r>
      <w:r>
        <w:t xml:space="preserve">.”</w:t>
      </w:r>
      <w:r>
        <w:t xml:space="preserve"> </w:t>
      </w:r>
      <w:r>
        <w:rPr>
          <w:iCs/>
          <w:i/>
        </w:rPr>
        <w:t xml:space="preserve">International Migration Review</w:t>
      </w:r>
      <w:r>
        <w:t xml:space="preserve">, August, 01979183231187623.</w:t>
      </w:r>
      <w:r>
        <w:t xml:space="preserve"> </w:t>
      </w:r>
      <w:hyperlink r:id="rId100">
        <w:r>
          <w:rPr>
            <w:rStyle w:val="Hyperlink"/>
          </w:rPr>
          <w:t xml:space="preserve">https://doi.org/10.1177/01979183231187623</w:t>
        </w:r>
      </w:hyperlink>
      <w:r>
        <w:t xml:space="preserve">.</w:t>
      </w:r>
    </w:p>
    <w:bookmarkEnd w:id="101"/>
    <w:bookmarkStart w:id="103" w:name="ref-hoffmann_2024_policy"/>
    <w:p>
      <w:pPr>
        <w:pStyle w:val="Bibliography"/>
      </w:pPr>
      <w:r>
        <w:t xml:space="preserve">———. 2024a.</w:t>
      </w:r>
      <w:r>
        <w:t xml:space="preserve"> </w:t>
      </w:r>
      <w:r>
        <w:t xml:space="preserve">“Policy</w:t>
      </w:r>
      <w:r>
        <w:t xml:space="preserve"> </w:t>
      </w:r>
      <w:r>
        <w:t xml:space="preserve">Effects</w:t>
      </w:r>
      <w:r>
        <w:t xml:space="preserve"> </w:t>
      </w:r>
      <w:r>
        <w:t xml:space="preserve">on</w:t>
      </w:r>
      <w:r>
        <w:t xml:space="preserve"> </w:t>
      </w:r>
      <w:r>
        <w:t xml:space="preserve">Mixed-Citizenship</w:t>
      </w:r>
      <w:r>
        <w:t xml:space="preserve">,</w:t>
      </w:r>
      <w:r>
        <w:t xml:space="preserve"> </w:t>
      </w:r>
      <w:r>
        <w:t xml:space="preserve">Same-Sex Unions</w:t>
      </w:r>
      <w:r>
        <w:t xml:space="preserve">:</w:t>
      </w:r>
      <w:r>
        <w:t xml:space="preserve"> </w:t>
      </w:r>
      <w:r>
        <w:t xml:space="preserve">A Triple-Difference Analysis</w:t>
      </w:r>
      <w:r>
        <w:t xml:space="preserve">.”</w:t>
      </w:r>
      <w:r>
        <w:t xml:space="preserve"> </w:t>
      </w:r>
      <w:r>
        <w:rPr>
          <w:iCs/>
          <w:i/>
        </w:rPr>
        <w:t xml:space="preserve">Social Forces</w:t>
      </w:r>
      <w:r>
        <w:t xml:space="preserve"> </w:t>
      </w:r>
      <w:r>
        <w:t xml:space="preserve">102 (3): 1134–56.</w:t>
      </w:r>
      <w:r>
        <w:t xml:space="preserve"> </w:t>
      </w:r>
      <w:hyperlink r:id="rId102">
        <w:r>
          <w:rPr>
            <w:rStyle w:val="Hyperlink"/>
          </w:rPr>
          <w:t xml:space="preserve">https://doi.org/10.1093/sf/soad108</w:t>
        </w:r>
      </w:hyperlink>
      <w:r>
        <w:t xml:space="preserve">.</w:t>
      </w:r>
    </w:p>
    <w:bookmarkEnd w:id="103"/>
    <w:bookmarkStart w:id="105" w:name="ref-hoffmann_2024_how"/>
    <w:p>
      <w:pPr>
        <w:pStyle w:val="Bibliography"/>
      </w:pPr>
      <w:r>
        <w:t xml:space="preserve">———. 2024b.</w:t>
      </w:r>
      <w:r>
        <w:t xml:space="preserve"> </w:t>
      </w:r>
      <w:r>
        <w:t xml:space="preserve">“How</w:t>
      </w:r>
      <w:r>
        <w:t xml:space="preserve"> </w:t>
      </w:r>
      <w:r>
        <w:t xml:space="preserve">Sexuality Affects Evaluations</w:t>
      </w:r>
      <w:r>
        <w:t xml:space="preserve"> </w:t>
      </w:r>
      <w:r>
        <w:t xml:space="preserve">of</w:t>
      </w:r>
      <w:r>
        <w:t xml:space="preserve"> </w:t>
      </w:r>
      <w:r>
        <w:t xml:space="preserve">Immigrant Deservingness</w:t>
      </w:r>
      <w:r>
        <w:t xml:space="preserve"> </w:t>
      </w:r>
      <w:r>
        <w:t xml:space="preserve">and</w:t>
      </w:r>
      <w:r>
        <w:t xml:space="preserve"> </w:t>
      </w:r>
      <w:r>
        <w:t xml:space="preserve">Cultural Similarity</w:t>
      </w:r>
      <w:r>
        <w:t xml:space="preserve">:</w:t>
      </w:r>
      <w:r>
        <w:t xml:space="preserve"> </w:t>
      </w:r>
      <w:r>
        <w:t xml:space="preserve">A Conjoint Survey Experiment</w:t>
      </w:r>
      <w:r>
        <w:t xml:space="preserve">.”</w:t>
      </w:r>
      <w:r>
        <w:t xml:space="preserve"> </w:t>
      </w:r>
      <w:r>
        <w:t xml:space="preserve">OSF.</w:t>
      </w:r>
      <w:r>
        <w:t xml:space="preserve"> </w:t>
      </w:r>
      <w:hyperlink r:id="rId104">
        <w:r>
          <w:rPr>
            <w:rStyle w:val="Hyperlink"/>
          </w:rPr>
          <w:t xml:space="preserve">https://doi.org/10.31235/osf.io/yb6ua</w:t>
        </w:r>
      </w:hyperlink>
      <w:r>
        <w:t xml:space="preserve">.</w:t>
      </w:r>
    </w:p>
    <w:bookmarkEnd w:id="105"/>
    <w:bookmarkStart w:id="107" w:name="ref-iceland_2008_immigrant"/>
    <w:p>
      <w:pPr>
        <w:pStyle w:val="Bibliography"/>
      </w:pPr>
      <w:r>
        <w:t xml:space="preserve">Iceland, John, and Melissa Scopilliti. 2008.</w:t>
      </w:r>
      <w:r>
        <w:t xml:space="preserve"> </w:t>
      </w:r>
      <w:r>
        <w:t xml:space="preserve">“Immigrant Residential Segregation in</w:t>
      </w:r>
      <w:r>
        <w:t xml:space="preserve"> </w:t>
      </w:r>
      <w:r>
        <w:t xml:space="preserve">U</w:t>
      </w:r>
      <w:r>
        <w:t xml:space="preserve">.</w:t>
      </w:r>
      <w:r>
        <w:t xml:space="preserve">S</w:t>
      </w:r>
      <w:r>
        <w:t xml:space="preserve">. Metropolitan Areas, 1990–2000.”</w:t>
      </w:r>
      <w:r>
        <w:t xml:space="preserve"> </w:t>
      </w:r>
      <w:r>
        <w:rPr>
          <w:iCs/>
          <w:i/>
        </w:rPr>
        <w:t xml:space="preserve">Demography</w:t>
      </w:r>
      <w:r>
        <w:t xml:space="preserve"> </w:t>
      </w:r>
      <w:r>
        <w:t xml:space="preserve">45 (1): 79–94.</w:t>
      </w:r>
      <w:r>
        <w:t xml:space="preserve"> </w:t>
      </w:r>
      <w:hyperlink r:id="rId106">
        <w:r>
          <w:rPr>
            <w:rStyle w:val="Hyperlink"/>
          </w:rPr>
          <w:t xml:space="preserve">https://doi.org/10.1353/dem.2008.0009</w:t>
        </w:r>
      </w:hyperlink>
      <w:r>
        <w:t xml:space="preserve">.</w:t>
      </w:r>
    </w:p>
    <w:bookmarkEnd w:id="107"/>
    <w:bookmarkStart w:id="109" w:name="ref-jones_2025_jigsaw"/>
    <w:p>
      <w:pPr>
        <w:pStyle w:val="Bibliography"/>
      </w:pPr>
      <w:r>
        <w:t xml:space="preserve">Jones, Chelle. 2025.</w:t>
      </w:r>
      <w:r>
        <w:t xml:space="preserve"> </w:t>
      </w:r>
      <w:r>
        <w:t xml:space="preserve">“Jigsaw</w:t>
      </w:r>
      <w:r>
        <w:t xml:space="preserve"> </w:t>
      </w:r>
      <w:r>
        <w:t xml:space="preserve">Migration</w:t>
      </w:r>
      <w:r>
        <w:t xml:space="preserve">:</w:t>
      </w:r>
      <w:r>
        <w:t xml:space="preserve"> </w:t>
      </w:r>
      <w:r>
        <w:t xml:space="preserve">How Mixed Citizenship LGBTQ Families</w:t>
      </w:r>
      <w:r>
        <w:t xml:space="preserve"> </w:t>
      </w:r>
      <w:r>
        <w:t xml:space="preserve">(</w:t>
      </w:r>
      <w:r>
        <w:t xml:space="preserve">Re</w:t>
      </w:r>
      <w:r>
        <w:t xml:space="preserve">)</w:t>
      </w:r>
      <w:r>
        <w:t xml:space="preserve">Assemble Their Fragmented Citizenship</w:t>
      </w:r>
      <w:r>
        <w:t xml:space="preserve">.”</w:t>
      </w:r>
      <w:r>
        <w:t xml:space="preserve"> </w:t>
      </w:r>
      <w:r>
        <w:rPr>
          <w:iCs/>
          <w:i/>
        </w:rPr>
        <w:t xml:space="preserve">International Migration Review</w:t>
      </w:r>
      <w:r>
        <w:t xml:space="preserve"> </w:t>
      </w:r>
      <w:r>
        <w:t xml:space="preserve">59 (1): 444–67.</w:t>
      </w:r>
      <w:r>
        <w:t xml:space="preserve"> </w:t>
      </w:r>
      <w:hyperlink r:id="rId108">
        <w:r>
          <w:rPr>
            <w:rStyle w:val="Hyperlink"/>
          </w:rPr>
          <w:t xml:space="preserve">https://doi.org/10.1177/01979183231175101</w:t>
        </w:r>
      </w:hyperlink>
      <w:r>
        <w:t xml:space="preserve">.</w:t>
      </w:r>
    </w:p>
    <w:bookmarkEnd w:id="109"/>
    <w:bookmarkStart w:id="111" w:name="ref-klett-davies_2021_border"/>
    <w:p>
      <w:pPr>
        <w:pStyle w:val="Bibliography"/>
      </w:pPr>
      <w:r>
        <w:t xml:space="preserve">Klett-Davies, Martina. 2021.</w:t>
      </w:r>
      <w:r>
        <w:t xml:space="preserve"> </w:t>
      </w:r>
      <w:r>
        <w:t xml:space="preserve">“Border</w:t>
      </w:r>
      <w:r>
        <w:t xml:space="preserve"> </w:t>
      </w:r>
      <w:r>
        <w:t xml:space="preserve">Regimes</w:t>
      </w:r>
      <w:r>
        <w:t xml:space="preserve">:</w:t>
      </w:r>
      <w:r>
        <w:t xml:space="preserve"> </w:t>
      </w:r>
      <w:r>
        <w:t xml:space="preserve">Homophobia</w:t>
      </w:r>
      <w:r>
        <w:t xml:space="preserve"> </w:t>
      </w:r>
      <w:r>
        <w:t xml:space="preserve">and</w:t>
      </w:r>
      <w:r>
        <w:t xml:space="preserve"> </w:t>
      </w:r>
      <w:r>
        <w:t xml:space="preserve">LGBT Place Making</w:t>
      </w:r>
      <w:r>
        <w:t xml:space="preserve"> </w:t>
      </w:r>
      <w:r>
        <w:t xml:space="preserve">in</w:t>
      </w:r>
      <w:r>
        <w:t xml:space="preserve"> </w:t>
      </w:r>
      <w:r>
        <w:t xml:space="preserve">Six Ordinary Cities</w:t>
      </w:r>
      <w:r>
        <w:t xml:space="preserve"> </w:t>
      </w:r>
      <w:r>
        <w:t xml:space="preserve">in</w:t>
      </w:r>
      <w:r>
        <w:t xml:space="preserve"> </w:t>
      </w:r>
      <w:r>
        <w:t xml:space="preserve">Europe</w:t>
      </w:r>
      <w:r>
        <w:t xml:space="preserve">.”</w:t>
      </w:r>
      <w:r>
        <w:t xml:space="preserve"> </w:t>
      </w:r>
      <w:r>
        <w:rPr>
          <w:iCs/>
          <w:i/>
        </w:rPr>
        <w:t xml:space="preserve">Religions</w:t>
      </w:r>
      <w:r>
        <w:t xml:space="preserve"> </w:t>
      </w:r>
      <w:r>
        <w:t xml:space="preserve">13 (1): 6.</w:t>
      </w:r>
      <w:r>
        <w:t xml:space="preserve"> </w:t>
      </w:r>
      <w:hyperlink r:id="rId110">
        <w:r>
          <w:rPr>
            <w:rStyle w:val="Hyperlink"/>
          </w:rPr>
          <w:t xml:space="preserve">https://doi.org/10.3390/rel13010006</w:t>
        </w:r>
      </w:hyperlink>
      <w:r>
        <w:t xml:space="preserve">.</w:t>
      </w:r>
    </w:p>
    <w:bookmarkEnd w:id="111"/>
    <w:bookmarkStart w:id="113" w:name="ref-lee_2018_healthrelated"/>
    <w:p>
      <w:pPr>
        <w:pStyle w:val="Bibliography"/>
      </w:pPr>
      <w:r>
        <w:t xml:space="preserve">Lee, Joseph G. L., Thomas Wimark, Kasim S. Ortiz, and Kerry B. Sewell. 2018.</w:t>
      </w:r>
      <w:r>
        <w:t xml:space="preserve"> </w:t>
      </w:r>
      <w:r>
        <w:t xml:space="preserve">“Health-Related Regional and Neighborhood Correlates of Sexual Minority Concentration:</w:t>
      </w:r>
      <w:r>
        <w:t xml:space="preserve"> </w:t>
      </w:r>
      <w:r>
        <w:t xml:space="preserve">A</w:t>
      </w:r>
      <w:r>
        <w:t xml:space="preserve"> </w:t>
      </w:r>
      <w:r>
        <w:t xml:space="preserve">Systematic Review.”</w:t>
      </w:r>
      <w:r>
        <w:t xml:space="preserve"> </w:t>
      </w:r>
      <w:r>
        <w:t xml:space="preserve">Edited by Nguyen Tien Huy.</w:t>
      </w:r>
      <w:r>
        <w:t xml:space="preserve"> </w:t>
      </w:r>
      <w:r>
        <w:rPr>
          <w:iCs/>
          <w:i/>
        </w:rPr>
        <w:t xml:space="preserve">PLOS ONE</w:t>
      </w:r>
      <w:r>
        <w:t xml:space="preserve"> </w:t>
      </w:r>
      <w:r>
        <w:t xml:space="preserve">13 (6): e0198751.</w:t>
      </w:r>
      <w:r>
        <w:t xml:space="preserve"> </w:t>
      </w:r>
      <w:hyperlink r:id="rId112">
        <w:r>
          <w:rPr>
            <w:rStyle w:val="Hyperlink"/>
          </w:rPr>
          <w:t xml:space="preserve">https://doi.org/10.1371/journal.pone.0198751</w:t>
        </w:r>
      </w:hyperlink>
      <w:r>
        <w:t xml:space="preserve">.</w:t>
      </w:r>
    </w:p>
    <w:bookmarkEnd w:id="113"/>
    <w:bookmarkStart w:id="115" w:name="ref-mai_2009"/>
    <w:p>
      <w:pPr>
        <w:pStyle w:val="Bibliography"/>
      </w:pPr>
      <w:r>
        <w:t xml:space="preserve">Mai, Nicola, and Russell King. 2009.</w:t>
      </w:r>
      <w:r>
        <w:t xml:space="preserve"> </w:t>
      </w:r>
      <w:r>
        <w:t xml:space="preserve">“Love,</w:t>
      </w:r>
      <w:r>
        <w:t xml:space="preserve"> </w:t>
      </w:r>
      <w:r>
        <w:t xml:space="preserve">Sexuality</w:t>
      </w:r>
      <w:r>
        <w:t xml:space="preserve"> </w:t>
      </w:r>
      <w:r>
        <w:t xml:space="preserve">and</w:t>
      </w:r>
      <w:r>
        <w:t xml:space="preserve"> </w:t>
      </w:r>
      <w:r>
        <w:t xml:space="preserve">Migration</w:t>
      </w:r>
      <w:r>
        <w:t xml:space="preserve">:</w:t>
      </w:r>
      <w:r>
        <w:t xml:space="preserve"> </w:t>
      </w:r>
      <w:r>
        <w:t xml:space="preserve">Mapping</w:t>
      </w:r>
      <w:r>
        <w:t xml:space="preserve"> </w:t>
      </w:r>
      <w:r>
        <w:t xml:space="preserve">the</w:t>
      </w:r>
      <w:r>
        <w:t xml:space="preserve"> </w:t>
      </w:r>
      <w:r>
        <w:t xml:space="preserve">Issue</w:t>
      </w:r>
      <w:r>
        <w:t xml:space="preserve">(s).”</w:t>
      </w:r>
      <w:r>
        <w:t xml:space="preserve"> </w:t>
      </w:r>
      <w:r>
        <w:rPr>
          <w:iCs/>
          <w:i/>
        </w:rPr>
        <w:t xml:space="preserve">Mobilities</w:t>
      </w:r>
      <w:r>
        <w:t xml:space="preserve"> </w:t>
      </w:r>
      <w:r>
        <w:t xml:space="preserve">4 (3): 295–307.</w:t>
      </w:r>
      <w:r>
        <w:t xml:space="preserve"> </w:t>
      </w:r>
      <w:hyperlink r:id="rId114">
        <w:r>
          <w:rPr>
            <w:rStyle w:val="Hyperlink"/>
          </w:rPr>
          <w:t xml:space="preserve">https://doi.org/10.1080/17450100903195318</w:t>
        </w:r>
      </w:hyperlink>
      <w:r>
        <w:t xml:space="preserve">.</w:t>
      </w:r>
    </w:p>
    <w:bookmarkEnd w:id="115"/>
    <w:bookmarkStart w:id="117" w:name="ref-marcen_2022_effect"/>
    <w:p>
      <w:pPr>
        <w:pStyle w:val="Bibliography"/>
      </w:pPr>
      <w:r>
        <w:t xml:space="preserve">Marcén, Miriam, and Marina Morales. 2022.</w:t>
      </w:r>
      <w:r>
        <w:t xml:space="preserve"> </w:t>
      </w:r>
      <w:r>
        <w:t xml:space="preserve">“The Effect of Same-Sex Marriage Legalization on Interstate Migration in the</w:t>
      </w:r>
      <w:r>
        <w:t xml:space="preserve"> </w:t>
      </w:r>
      <w:r>
        <w:t xml:space="preserve">USA</w:t>
      </w:r>
      <w:r>
        <w:t xml:space="preserve">.”</w:t>
      </w:r>
      <w:r>
        <w:t xml:space="preserve"> </w:t>
      </w:r>
      <w:r>
        <w:rPr>
          <w:iCs/>
          <w:i/>
        </w:rPr>
        <w:t xml:space="preserve">Journal of Population Economics</w:t>
      </w:r>
      <w:r>
        <w:t xml:space="preserve"> </w:t>
      </w:r>
      <w:r>
        <w:t xml:space="preserve">35 (2): 441–69.</w:t>
      </w:r>
      <w:r>
        <w:t xml:space="preserve"> </w:t>
      </w:r>
      <w:hyperlink r:id="rId116">
        <w:r>
          <w:rPr>
            <w:rStyle w:val="Hyperlink"/>
          </w:rPr>
          <w:t xml:space="preserve">https://doi.org/10.1007/s00148-021-00842-5</w:t>
        </w:r>
      </w:hyperlink>
      <w:r>
        <w:t xml:space="preserve">.</w:t>
      </w:r>
    </w:p>
    <w:bookmarkEnd w:id="117"/>
    <w:bookmarkStart w:id="119" w:name="ref-marino_2024_visualizing"/>
    <w:p>
      <w:pPr>
        <w:pStyle w:val="Bibliography"/>
      </w:pPr>
      <w:r>
        <w:t xml:space="preserve">Marino, Francesca A., Krista K. Westrick-Payne, Wendy D. Manning, and Susan L. Brown. 2024.</w:t>
      </w:r>
      <w:r>
        <w:t xml:space="preserve"> </w:t>
      </w:r>
      <w:r>
        <w:t xml:space="preserve">“Visualizing</w:t>
      </w:r>
      <w:r>
        <w:t xml:space="preserve"> </w:t>
      </w:r>
      <w:r>
        <w:t xml:space="preserve">Concentrations</w:t>
      </w:r>
      <w:r>
        <w:t xml:space="preserve"> </w:t>
      </w:r>
      <w:r>
        <w:t xml:space="preserve">of</w:t>
      </w:r>
      <w:r>
        <w:t xml:space="preserve"> </w:t>
      </w:r>
      <w:r>
        <w:t xml:space="preserve">Couples</w:t>
      </w:r>
      <w:r>
        <w:t xml:space="preserve"> </w:t>
      </w:r>
      <w:r>
        <w:t xml:space="preserve">and</w:t>
      </w:r>
      <w:r>
        <w:t xml:space="preserve"> </w:t>
      </w:r>
      <w:r>
        <w:t xml:space="preserve">Same-Sex Couples</w:t>
      </w:r>
      <w:r>
        <w:t xml:space="preserve"> </w:t>
      </w:r>
      <w:r>
        <w:t xml:space="preserve">Across</w:t>
      </w:r>
      <w:r>
        <w:t xml:space="preserve"> </w:t>
      </w:r>
      <w:r>
        <w:t xml:space="preserve">U</w:t>
      </w:r>
      <w:r>
        <w:t xml:space="preserve">.</w:t>
      </w:r>
      <w:r>
        <w:t xml:space="preserve">S</w:t>
      </w:r>
      <w:r>
        <w:t xml:space="preserve">.</w:t>
      </w:r>
      <w:r>
        <w:t xml:space="preserve"> </w:t>
      </w:r>
      <w:r>
        <w:t xml:space="preserve">Counties</w:t>
      </w:r>
      <w:r>
        <w:t xml:space="preserve">.”</w:t>
      </w:r>
      <w:r>
        <w:t xml:space="preserve"> </w:t>
      </w:r>
      <w:r>
        <w:rPr>
          <w:iCs/>
          <w:i/>
        </w:rPr>
        <w:t xml:space="preserve">Socius</w:t>
      </w:r>
      <w:r>
        <w:t xml:space="preserve"> </w:t>
      </w:r>
      <w:r>
        <w:t xml:space="preserve">10 (January): 23780231231222772.</w:t>
      </w:r>
      <w:r>
        <w:t xml:space="preserve"> </w:t>
      </w:r>
      <w:hyperlink r:id="rId118">
        <w:r>
          <w:rPr>
            <w:rStyle w:val="Hyperlink"/>
          </w:rPr>
          <w:t xml:space="preserve">https://doi.org/10.1177/23780231231222772</w:t>
        </w:r>
      </w:hyperlink>
      <w:r>
        <w:t xml:space="preserve">.</w:t>
      </w:r>
    </w:p>
    <w:bookmarkEnd w:id="119"/>
    <w:bookmarkStart w:id="121" w:name="ref-martell_2020"/>
    <w:p>
      <w:pPr>
        <w:pStyle w:val="Bibliography"/>
      </w:pPr>
      <w:r>
        <w:t xml:space="preserve">Martell, Michael E., and Peyton Nash. 2020.</w:t>
      </w:r>
      <w:r>
        <w:t xml:space="preserve"> </w:t>
      </w:r>
      <w:r>
        <w:t xml:space="preserve">“For</w:t>
      </w:r>
      <w:r>
        <w:t xml:space="preserve"> </w:t>
      </w:r>
      <w:r>
        <w:t xml:space="preserve">Love</w:t>
      </w:r>
      <w:r>
        <w:t xml:space="preserve"> </w:t>
      </w:r>
      <w:r>
        <w:t xml:space="preserve">and</w:t>
      </w:r>
      <w:r>
        <w:t xml:space="preserve"> </w:t>
      </w:r>
      <w:r>
        <w:t xml:space="preserve">Money</w:t>
      </w:r>
      <w:r>
        <w:t xml:space="preserve">?</w:t>
      </w:r>
      <w:r>
        <w:t xml:space="preserve"> </w:t>
      </w:r>
      <w:r>
        <w:t xml:space="preserve">Earnings</w:t>
      </w:r>
      <w:r>
        <w:t xml:space="preserve"> </w:t>
      </w:r>
      <w:r>
        <w:t xml:space="preserve">and</w:t>
      </w:r>
      <w:r>
        <w:t xml:space="preserve"> </w:t>
      </w:r>
      <w:r>
        <w:t xml:space="preserve">Marriage Among Same-Sex Couples</w:t>
      </w:r>
      <w:r>
        <w:t xml:space="preserve">.”</w:t>
      </w:r>
      <w:r>
        <w:t xml:space="preserve"> </w:t>
      </w:r>
      <w:r>
        <w:rPr>
          <w:iCs/>
          <w:i/>
        </w:rPr>
        <w:t xml:space="preserve">Journal of Labor Research</w:t>
      </w:r>
      <w:r>
        <w:t xml:space="preserve"> </w:t>
      </w:r>
      <w:r>
        <w:t xml:space="preserve">41 (3): 260–94.</w:t>
      </w:r>
      <w:r>
        <w:t xml:space="preserve"> </w:t>
      </w:r>
      <w:hyperlink r:id="rId120">
        <w:r>
          <w:rPr>
            <w:rStyle w:val="Hyperlink"/>
          </w:rPr>
          <w:t xml:space="preserve">https://doi.org/10.1007/s12122-020-09305-4</w:t>
        </w:r>
      </w:hyperlink>
      <w:r>
        <w:t xml:space="preserve">.</w:t>
      </w:r>
    </w:p>
    <w:bookmarkEnd w:id="121"/>
    <w:bookmarkStart w:id="122" w:name="ref-massey_2008_new"/>
    <w:p>
      <w:pPr>
        <w:pStyle w:val="Bibliography"/>
      </w:pPr>
      <w:r>
        <w:t xml:space="preserve">Massey, Douglas S., ed. 2008.</w:t>
      </w:r>
      <w:r>
        <w:t xml:space="preserve"> </w:t>
      </w:r>
      <w:r>
        <w:rPr>
          <w:iCs/>
          <w:i/>
        </w:rPr>
        <w:t xml:space="preserve">New</w:t>
      </w:r>
      <w:r>
        <w:rPr>
          <w:iCs/>
          <w:i/>
        </w:rPr>
        <w:t xml:space="preserve"> </w:t>
      </w:r>
      <w:r>
        <w:rPr>
          <w:iCs/>
          <w:i/>
        </w:rPr>
        <w:t xml:space="preserve">Faces</w:t>
      </w:r>
      <w:r>
        <w:rPr>
          <w:iCs/>
          <w:i/>
        </w:rPr>
        <w:t xml:space="preserve"> </w:t>
      </w:r>
      <w:r>
        <w:rPr>
          <w:iCs/>
          <w:i/>
        </w:rPr>
        <w:t xml:space="preserve">in</w:t>
      </w:r>
      <w:r>
        <w:rPr>
          <w:iCs/>
          <w:i/>
        </w:rPr>
        <w:t xml:space="preserve"> </w:t>
      </w:r>
      <w:r>
        <w:rPr>
          <w:iCs/>
          <w:i/>
        </w:rPr>
        <w:t xml:space="preserve">New Places</w:t>
      </w:r>
      <w:r>
        <w:rPr>
          <w:iCs/>
          <w:i/>
        </w:rPr>
        <w:t xml:space="preserve">:</w:t>
      </w:r>
      <w:r>
        <w:rPr>
          <w:iCs/>
          <w:i/>
        </w:rPr>
        <w:t xml:space="preserve"> </w:t>
      </w:r>
      <w:r>
        <w:rPr>
          <w:iCs/>
          <w:i/>
        </w:rPr>
        <w:t xml:space="preserve">The Changing Geography</w:t>
      </w:r>
      <w:r>
        <w:rPr>
          <w:iCs/>
          <w:i/>
        </w:rPr>
        <w:t xml:space="preserve"> </w:t>
      </w:r>
      <w:r>
        <w:rPr>
          <w:iCs/>
          <w:i/>
        </w:rPr>
        <w:t xml:space="preserve">of</w:t>
      </w:r>
      <w:r>
        <w:rPr>
          <w:iCs/>
          <w:i/>
        </w:rPr>
        <w:t xml:space="preserve"> </w:t>
      </w:r>
      <w:r>
        <w:rPr>
          <w:iCs/>
          <w:i/>
        </w:rPr>
        <w:t xml:space="preserve">American Immigration</w:t>
      </w:r>
      <w:r>
        <w:t xml:space="preserve">. New York, NY: Russell Sage Foundation.</w:t>
      </w:r>
    </w:p>
    <w:bookmarkEnd w:id="122"/>
    <w:bookmarkStart w:id="123" w:name="ref-massey_1987"/>
    <w:p>
      <w:pPr>
        <w:pStyle w:val="Bibliography"/>
      </w:pPr>
      <w:r>
        <w:t xml:space="preserve">Massey, Douglas S., Rafael Alarcon, Jorge Durand, and Humberto González. 1987.</w:t>
      </w:r>
      <w:r>
        <w:t xml:space="preserve"> </w:t>
      </w:r>
      <w:r>
        <w:rPr>
          <w:iCs/>
          <w:i/>
        </w:rPr>
        <w:t xml:space="preserve">Return to</w:t>
      </w:r>
      <w:r>
        <w:rPr>
          <w:iCs/>
          <w:i/>
        </w:rPr>
        <w:t xml:space="preserve"> </w:t>
      </w:r>
      <w:r>
        <w:rPr>
          <w:iCs/>
          <w:i/>
        </w:rPr>
        <w:t xml:space="preserve">Aztlan</w:t>
      </w:r>
      <w:r>
        <w:rPr>
          <w:iCs/>
          <w:i/>
        </w:rPr>
        <w:t xml:space="preserve">:</w:t>
      </w:r>
      <w:r>
        <w:rPr>
          <w:iCs/>
          <w:i/>
        </w:rPr>
        <w:t xml:space="preserve"> </w:t>
      </w:r>
      <w:r>
        <w:rPr>
          <w:iCs/>
          <w:i/>
        </w:rPr>
        <w:t xml:space="preserve">The Social Process</w:t>
      </w:r>
      <w:r>
        <w:rPr>
          <w:iCs/>
          <w:i/>
        </w:rPr>
        <w:t xml:space="preserve"> </w:t>
      </w:r>
      <w:r>
        <w:rPr>
          <w:iCs/>
          <w:i/>
        </w:rPr>
        <w:t xml:space="preserve">of</w:t>
      </w:r>
      <w:r>
        <w:rPr>
          <w:iCs/>
          <w:i/>
        </w:rPr>
        <w:t xml:space="preserve"> </w:t>
      </w:r>
      <w:r>
        <w:rPr>
          <w:iCs/>
          <w:i/>
        </w:rPr>
        <w:t xml:space="preserve">International Migration</w:t>
      </w:r>
      <w:r>
        <w:rPr>
          <w:iCs/>
          <w:i/>
        </w:rPr>
        <w:t xml:space="preserve"> </w:t>
      </w:r>
      <w:r>
        <w:rPr>
          <w:iCs/>
          <w:i/>
        </w:rPr>
        <w:t xml:space="preserve">from</w:t>
      </w:r>
      <w:r>
        <w:rPr>
          <w:iCs/>
          <w:i/>
        </w:rPr>
        <w:t xml:space="preserve"> </w:t>
      </w:r>
      <w:r>
        <w:rPr>
          <w:iCs/>
          <w:i/>
        </w:rPr>
        <w:t xml:space="preserve">Western Mexico</w:t>
      </w:r>
      <w:r>
        <w:t xml:space="preserve">. Berkeley: University of California Press.</w:t>
      </w:r>
    </w:p>
    <w:bookmarkEnd w:id="123"/>
    <w:bookmarkStart w:id="124" w:name="ref-michaels_2013"/>
    <w:p>
      <w:pPr>
        <w:pStyle w:val="Bibliography"/>
      </w:pPr>
      <w:r>
        <w:t xml:space="preserve">Michaels, Stuart. 2013.</w:t>
      </w:r>
      <w:r>
        <w:t xml:space="preserve"> </w:t>
      </w:r>
      <w:r>
        <w:t xml:space="preserve">“Sexual Behavior and Practices:</w:t>
      </w:r>
      <w:r>
        <w:t xml:space="preserve"> </w:t>
      </w:r>
      <w:r>
        <w:t xml:space="preserve">Data</w:t>
      </w:r>
      <w:r>
        <w:t xml:space="preserve"> </w:t>
      </w:r>
      <w:r>
        <w:t xml:space="preserve">and Measurement.”</w:t>
      </w:r>
      <w:r>
        <w:t xml:space="preserve"> </w:t>
      </w:r>
      <w:r>
        <w:t xml:space="preserve">In</w:t>
      </w:r>
      <w:r>
        <w:t xml:space="preserve"> </w:t>
      </w:r>
      <w:r>
        <w:rPr>
          <w:iCs/>
          <w:i/>
        </w:rPr>
        <w:t xml:space="preserve">International Handbook on the Demography of Sexuality</w:t>
      </w:r>
      <w:r>
        <w:t xml:space="preserve">, 11–20. Springer.</w:t>
      </w:r>
    </w:p>
    <w:bookmarkEnd w:id="124"/>
    <w:bookmarkStart w:id="126" w:name="ref-nash_2015_lesbians"/>
    <w:p>
      <w:pPr>
        <w:pStyle w:val="Bibliography"/>
      </w:pPr>
      <w:r>
        <w:t xml:space="preserve">Nash, Catherine, and Andrew Gorman-Murray. 2015.</w:t>
      </w:r>
      <w:r>
        <w:t xml:space="preserve"> </w:t>
      </w:r>
      <w:r>
        <w:t xml:space="preserve">“Lesbians in the</w:t>
      </w:r>
      <w:r>
        <w:t xml:space="preserve"> </w:t>
      </w:r>
      <w:r>
        <w:t xml:space="preserve">City</w:t>
      </w:r>
      <w:r>
        <w:t xml:space="preserve">:</w:t>
      </w:r>
      <w:r>
        <w:t xml:space="preserve"> </w:t>
      </w:r>
      <w:r>
        <w:t xml:space="preserve">Mobilities</w:t>
      </w:r>
      <w:r>
        <w:t xml:space="preserve"> </w:t>
      </w:r>
      <w:r>
        <w:t xml:space="preserve">and</w:t>
      </w:r>
      <w:r>
        <w:t xml:space="preserve"> </w:t>
      </w:r>
      <w:r>
        <w:t xml:space="preserve">Relational Geographies</w:t>
      </w:r>
      <w:r>
        <w:t xml:space="preserve">.”</w:t>
      </w:r>
      <w:r>
        <w:t xml:space="preserve"> </w:t>
      </w:r>
      <w:r>
        <w:rPr>
          <w:iCs/>
          <w:i/>
        </w:rPr>
        <w:t xml:space="preserve">Journal of Lesbian Studies</w:t>
      </w:r>
      <w:r>
        <w:t xml:space="preserve"> </w:t>
      </w:r>
      <w:r>
        <w:t xml:space="preserve">19 (2): 173–91.</w:t>
      </w:r>
      <w:r>
        <w:t xml:space="preserve"> </w:t>
      </w:r>
      <w:hyperlink r:id="rId125">
        <w:r>
          <w:rPr>
            <w:rStyle w:val="Hyperlink"/>
          </w:rPr>
          <w:t xml:space="preserve">https://doi.org/10.1080/10894160.2015.969594</w:t>
        </w:r>
      </w:hyperlink>
      <w:r>
        <w:t xml:space="preserve">.</w:t>
      </w:r>
    </w:p>
    <w:bookmarkEnd w:id="126"/>
    <w:bookmarkStart w:id="128" w:name="ref-newbold_1999_spatial"/>
    <w:p>
      <w:pPr>
        <w:pStyle w:val="Bibliography"/>
      </w:pPr>
      <w:r>
        <w:t xml:space="preserve">Newbold, K. Bruce. 1999.</w:t>
      </w:r>
      <w:r>
        <w:t xml:space="preserve"> </w:t>
      </w:r>
      <w:r>
        <w:t xml:space="preserve">“Spatial</w:t>
      </w:r>
      <w:r>
        <w:t xml:space="preserve"> </w:t>
      </w:r>
      <w:r>
        <w:t xml:space="preserve">Distribution</w:t>
      </w:r>
      <w:r>
        <w:t xml:space="preserve"> </w:t>
      </w:r>
      <w:r>
        <w:t xml:space="preserve">and</w:t>
      </w:r>
      <w:r>
        <w:t xml:space="preserve"> </w:t>
      </w:r>
      <w:r>
        <w:t xml:space="preserve">Redistribution</w:t>
      </w:r>
      <w:r>
        <w:t xml:space="preserve"> </w:t>
      </w:r>
      <w:r>
        <w:t xml:space="preserve">of</w:t>
      </w:r>
      <w:r>
        <w:t xml:space="preserve"> </w:t>
      </w:r>
      <w:r>
        <w:t xml:space="preserve">Immigrants</w:t>
      </w:r>
      <w:r>
        <w:t xml:space="preserve"> </w:t>
      </w:r>
      <w:r>
        <w:t xml:space="preserve">in the</w:t>
      </w:r>
      <w:r>
        <w:t xml:space="preserve"> </w:t>
      </w:r>
      <w:r>
        <w:t xml:space="preserve">Metropolitan United States</w:t>
      </w:r>
      <w:r>
        <w:t xml:space="preserve">, 1980 and 1990*.”</w:t>
      </w:r>
      <w:r>
        <w:t xml:space="preserve"> </w:t>
      </w:r>
      <w:r>
        <w:rPr>
          <w:iCs/>
          <w:i/>
        </w:rPr>
        <w:t xml:space="preserve">Economic Geography</w:t>
      </w:r>
      <w:r>
        <w:t xml:space="preserve"> </w:t>
      </w:r>
      <w:r>
        <w:t xml:space="preserve">75 (3): 254–71.</w:t>
      </w:r>
      <w:r>
        <w:t xml:space="preserve"> </w:t>
      </w:r>
      <w:hyperlink r:id="rId127">
        <w:r>
          <w:rPr>
            <w:rStyle w:val="Hyperlink"/>
          </w:rPr>
          <w:t xml:space="preserve">https://doi.org/10.1111/j.1944-8287.1999.tb00079.x</w:t>
        </w:r>
      </w:hyperlink>
      <w:r>
        <w:t xml:space="preserve">.</w:t>
      </w:r>
    </w:p>
    <w:bookmarkEnd w:id="128"/>
    <w:bookmarkStart w:id="129" w:name="ref-ribas_2015_line"/>
    <w:p>
      <w:pPr>
        <w:pStyle w:val="Bibliography"/>
      </w:pPr>
      <w:r>
        <w:t xml:space="preserve">Ribas, Vanesa. 2015.</w:t>
      </w:r>
      <w:r>
        <w:t xml:space="preserve"> </w:t>
      </w:r>
      <w:r>
        <w:rPr>
          <w:iCs/>
          <w:i/>
        </w:rPr>
        <w:t xml:space="preserve">On the</w:t>
      </w:r>
      <w:r>
        <w:rPr>
          <w:iCs/>
          <w:i/>
        </w:rPr>
        <w:t xml:space="preserve"> </w:t>
      </w:r>
      <w:r>
        <w:rPr>
          <w:iCs/>
          <w:i/>
        </w:rPr>
        <w:t xml:space="preserve">Line</w:t>
      </w:r>
      <w:r>
        <w:rPr>
          <w:iCs/>
          <w:i/>
        </w:rPr>
        <w:t xml:space="preserve">:</w:t>
      </w:r>
      <w:r>
        <w:rPr>
          <w:iCs/>
          <w:i/>
        </w:rPr>
        <w:t xml:space="preserve"> </w:t>
      </w:r>
      <w:r>
        <w:rPr>
          <w:iCs/>
          <w:i/>
        </w:rPr>
        <w:t xml:space="preserve">Slaughterhouse Lives</w:t>
      </w:r>
      <w:r>
        <w:rPr>
          <w:iCs/>
          <w:i/>
        </w:rPr>
        <w:t xml:space="preserve"> </w:t>
      </w:r>
      <w:r>
        <w:rPr>
          <w:iCs/>
          <w:i/>
        </w:rPr>
        <w:t xml:space="preserve">and the</w:t>
      </w:r>
      <w:r>
        <w:rPr>
          <w:iCs/>
          <w:i/>
        </w:rPr>
        <w:t xml:space="preserve"> </w:t>
      </w:r>
      <w:r>
        <w:rPr>
          <w:iCs/>
          <w:i/>
        </w:rPr>
        <w:t xml:space="preserve">Making</w:t>
      </w:r>
      <w:r>
        <w:rPr>
          <w:iCs/>
          <w:i/>
        </w:rPr>
        <w:t xml:space="preserve"> </w:t>
      </w:r>
      <w:r>
        <w:rPr>
          <w:iCs/>
          <w:i/>
        </w:rPr>
        <w:t xml:space="preserve">of the</w:t>
      </w:r>
      <w:r>
        <w:rPr>
          <w:iCs/>
          <w:i/>
        </w:rPr>
        <w:t xml:space="preserve"> </w:t>
      </w:r>
      <w:r>
        <w:rPr>
          <w:iCs/>
          <w:i/>
        </w:rPr>
        <w:t xml:space="preserve">New South</w:t>
      </w:r>
      <w:r>
        <w:t xml:space="preserve">. First edition. Oakland, California: University of California Press.</w:t>
      </w:r>
    </w:p>
    <w:bookmarkEnd w:id="129"/>
    <w:bookmarkStart w:id="130" w:name="ref-ruggles_2024_ipums"/>
    <w:p>
      <w:pPr>
        <w:pStyle w:val="Bibliography"/>
      </w:pPr>
      <w:r>
        <w:t xml:space="preserve">Ruggles, Steven, Sarah Flood, Sophia Foster, Ronald Goeken, Jose Pacas, Megan Schouweiler, and Matthew Sobek. 2024.</w:t>
      </w:r>
      <w:r>
        <w:t xml:space="preserve"> </w:t>
      </w:r>
      <w:r>
        <w:t xml:space="preserve">“</w:t>
      </w:r>
      <w:r>
        <w:t xml:space="preserve">IPUMS USA</w:t>
      </w:r>
      <w:r>
        <w:t xml:space="preserve">:</w:t>
      </w:r>
      <w:r>
        <w:t xml:space="preserve"> </w:t>
      </w:r>
      <w:r>
        <w:t xml:space="preserve">Version</w:t>
      </w:r>
      <w:r>
        <w:t xml:space="preserve"> </w:t>
      </w:r>
      <w:r>
        <w:t xml:space="preserve">15.0</w:t>
      </w:r>
      <w:r>
        <w:t xml:space="preserve"> </w:t>
      </w:r>
      <w:r>
        <w:t xml:space="preserve">American Community Survey</w:t>
      </w:r>
      <w:r>
        <w:t xml:space="preserve"> </w:t>
      </w:r>
      <w:r>
        <w:t xml:space="preserve">2008-2022.”</w:t>
      </w:r>
      <w:r>
        <w:t xml:space="preserve"> Minneapolis, MN: IPUMS.</w:t>
      </w:r>
    </w:p>
    <w:bookmarkEnd w:id="130"/>
    <w:bookmarkStart w:id="131" w:name="ref-seo_2024_quotidian"/>
    <w:p>
      <w:pPr>
        <w:pStyle w:val="Bibliography"/>
      </w:pPr>
      <w:r>
        <w:t xml:space="preserve">Seo, Juhwan. 2024.</w:t>
      </w:r>
      <w:r>
        <w:t xml:space="preserve"> </w:t>
      </w:r>
      <w:r>
        <w:t xml:space="preserve">“Quotidian</w:t>
      </w:r>
      <w:r>
        <w:t xml:space="preserve"> </w:t>
      </w:r>
      <w:r>
        <w:t xml:space="preserve">Homonationalism</w:t>
      </w:r>
      <w:r>
        <w:t xml:space="preserve">:</w:t>
      </w:r>
      <w:r>
        <w:t xml:space="preserve"> </w:t>
      </w:r>
      <w:r>
        <w:t xml:space="preserve">Green Card Adjudication</w:t>
      </w:r>
      <w:r>
        <w:t xml:space="preserve">,</w:t>
      </w:r>
      <w:r>
        <w:t xml:space="preserve"> </w:t>
      </w:r>
      <w:r>
        <w:t xml:space="preserve">Immigration Law</w:t>
      </w:r>
      <w:r>
        <w:t xml:space="preserve">, and</w:t>
      </w:r>
      <w:r>
        <w:t xml:space="preserve"> </w:t>
      </w:r>
      <w:r>
        <w:t xml:space="preserve">Liberal Inclusion</w:t>
      </w:r>
      <w:r>
        <w:t xml:space="preserve"> </w:t>
      </w:r>
      <w:r>
        <w:t xml:space="preserve">of</w:t>
      </w:r>
      <w:r>
        <w:t xml:space="preserve"> </w:t>
      </w:r>
      <w:r>
        <w:t xml:space="preserve">Same-Sex Binational Marriages</w:t>
      </w:r>
      <w:r>
        <w:t xml:space="preserve">.”</w:t>
      </w:r>
      <w:r>
        <w:t xml:space="preserve"> </w:t>
      </w:r>
      <w:r>
        <w:t xml:space="preserve">Oral {{Presentation}}.</w:t>
      </w:r>
    </w:p>
    <w:bookmarkEnd w:id="131"/>
    <w:bookmarkStart w:id="132" w:name="ref-singer_2004_rise"/>
    <w:p>
      <w:pPr>
        <w:pStyle w:val="Bibliography"/>
      </w:pPr>
      <w:r>
        <w:t xml:space="preserve">Singer, Audrey. 2004.</w:t>
      </w:r>
      <w:r>
        <w:t xml:space="preserve"> </w:t>
      </w:r>
      <w:r>
        <w:t xml:space="preserve">“The</w:t>
      </w:r>
      <w:r>
        <w:t xml:space="preserve"> </w:t>
      </w:r>
      <w:r>
        <w:t xml:space="preserve">Rise</w:t>
      </w:r>
      <w:r>
        <w:t xml:space="preserve"> </w:t>
      </w:r>
      <w:r>
        <w:t xml:space="preserve">of</w:t>
      </w:r>
      <w:r>
        <w:t xml:space="preserve"> </w:t>
      </w:r>
      <w:r>
        <w:t xml:space="preserve">New Immigrant Gateways</w:t>
      </w:r>
      <w:r>
        <w:t xml:space="preserve">.”</w:t>
      </w:r>
      <w:r>
        <w:t xml:space="preserve"> </w:t>
      </w:r>
      <w:r>
        <w:t xml:space="preserve">Washington, D.C.: The Brookings Institution.</w:t>
      </w:r>
    </w:p>
    <w:bookmarkEnd w:id="132"/>
    <w:bookmarkStart w:id="134" w:name="Xf9b7dd7db8420619fbcb498efab32b25b6ad7e6"/>
    <w:p>
      <w:pPr>
        <w:pStyle w:val="Bibliography"/>
      </w:pPr>
      <w:r>
        <w:t xml:space="preserve">Sólveigar-Og Gumundsdóttir, Linda. 2024.</w:t>
      </w:r>
      <w:r>
        <w:t xml:space="preserve"> </w:t>
      </w:r>
      <w:r>
        <w:t xml:space="preserve">“North-to-</w:t>
      </w:r>
      <w:r>
        <w:t xml:space="preserve">North</w:t>
      </w:r>
      <w:r>
        <w:t xml:space="preserve"> </w:t>
      </w:r>
      <w:r>
        <w:t xml:space="preserve">Queer Migrations: Privileged Subjectivities and Belonging in</w:t>
      </w:r>
      <w:r>
        <w:t xml:space="preserve"> </w:t>
      </w:r>
      <w:r>
        <w:t xml:space="preserve">Iceland</w:t>
      </w:r>
      <w:r>
        <w:t xml:space="preserve">.”</w:t>
      </w:r>
      <w:r>
        <w:t xml:space="preserve"> </w:t>
      </w:r>
      <w:r>
        <w:rPr>
          <w:iCs/>
          <w:i/>
        </w:rPr>
        <w:t xml:space="preserve">Gender, Place &amp; Culture</w:t>
      </w:r>
      <w:r>
        <w:t xml:space="preserve"> </w:t>
      </w:r>
      <w:r>
        <w:t xml:space="preserve">31 (10): 1397–417.</w:t>
      </w:r>
      <w:r>
        <w:t xml:space="preserve"> </w:t>
      </w:r>
      <w:hyperlink r:id="rId133">
        <w:r>
          <w:rPr>
            <w:rStyle w:val="Hyperlink"/>
          </w:rPr>
          <w:t xml:space="preserve">https://doi.org/10.1080/0966369X.2023.2249250</w:t>
        </w:r>
      </w:hyperlink>
      <w:r>
        <w:t xml:space="preserve">.</w:t>
      </w:r>
    </w:p>
    <w:bookmarkEnd w:id="134"/>
    <w:bookmarkStart w:id="136" w:name="ref-south_2005_migration"/>
    <w:p>
      <w:pPr>
        <w:pStyle w:val="Bibliography"/>
      </w:pPr>
      <w:r>
        <w:t xml:space="preserve">South, Scott J., Kyle Crowder, and Erick Chavez. 2005.</w:t>
      </w:r>
      <w:r>
        <w:t xml:space="preserve"> </w:t>
      </w:r>
      <w:r>
        <w:t xml:space="preserve">“Migration and Spatial Assimilation Among</w:t>
      </w:r>
      <w:r>
        <w:t xml:space="preserve"> </w:t>
      </w:r>
      <w:r>
        <w:t xml:space="preserve">U</w:t>
      </w:r>
      <w:r>
        <w:t xml:space="preserve">.</w:t>
      </w:r>
      <w:r>
        <w:t xml:space="preserve">S</w:t>
      </w:r>
      <w:r>
        <w:t xml:space="preserve">. Latinos:</w:t>
      </w:r>
      <w:r>
        <w:t xml:space="preserve"> </w:t>
      </w:r>
      <w:r>
        <w:t xml:space="preserve">Classical</w:t>
      </w:r>
      <w:r>
        <w:t xml:space="preserve"> </w:t>
      </w:r>
      <w:r>
        <w:t xml:space="preserve">Versus Segmented Trajectories.”</w:t>
      </w:r>
      <w:r>
        <w:t xml:space="preserve"> </w:t>
      </w:r>
      <w:r>
        <w:rPr>
          <w:iCs/>
          <w:i/>
        </w:rPr>
        <w:t xml:space="preserve">Demography</w:t>
      </w:r>
      <w:r>
        <w:t xml:space="preserve"> </w:t>
      </w:r>
      <w:r>
        <w:t xml:space="preserve">42 (3): 497–521.</w:t>
      </w:r>
      <w:r>
        <w:t xml:space="preserve"> </w:t>
      </w:r>
      <w:hyperlink r:id="rId135">
        <w:r>
          <w:rPr>
            <w:rStyle w:val="Hyperlink"/>
          </w:rPr>
          <w:t xml:space="preserve">https://doi.org/10.1353/dem.2005.0025</w:t>
        </w:r>
      </w:hyperlink>
      <w:r>
        <w:t xml:space="preserve">.</w:t>
      </w:r>
    </w:p>
    <w:bookmarkEnd w:id="136"/>
    <w:bookmarkStart w:id="138" w:name="ref-spring_2013_declining"/>
    <w:p>
      <w:pPr>
        <w:pStyle w:val="Bibliography"/>
      </w:pPr>
      <w:r>
        <w:t xml:space="preserve">Spring, Amy L. 2013.</w:t>
      </w:r>
      <w:r>
        <w:t xml:space="preserve"> </w:t>
      </w:r>
      <w:r>
        <w:t xml:space="preserve">“Declining</w:t>
      </w:r>
      <w:r>
        <w:t xml:space="preserve"> </w:t>
      </w:r>
      <w:r>
        <w:t xml:space="preserve">Segregation</w:t>
      </w:r>
      <w:r>
        <w:t xml:space="preserve"> </w:t>
      </w:r>
      <w:r>
        <w:t xml:space="preserve">of</w:t>
      </w:r>
      <w:r>
        <w:t xml:space="preserve"> </w:t>
      </w:r>
      <w:r>
        <w:t xml:space="preserve">Same-Sex Partners</w:t>
      </w:r>
      <w:r>
        <w:t xml:space="preserve">:</w:t>
      </w:r>
      <w:r>
        <w:t xml:space="preserve"> </w:t>
      </w:r>
      <w:r>
        <w:t xml:space="preserve">Evidence</w:t>
      </w:r>
      <w:r>
        <w:t xml:space="preserve"> </w:t>
      </w:r>
      <w:r>
        <w:t xml:space="preserve">from</w:t>
      </w:r>
      <w:r>
        <w:t xml:space="preserve"> </w:t>
      </w:r>
      <w:r>
        <w:t xml:space="preserve">Census</w:t>
      </w:r>
      <w:r>
        <w:t xml:space="preserve"> </w:t>
      </w:r>
      <w:r>
        <w:t xml:space="preserve">2000 and 2010.”</w:t>
      </w:r>
      <w:r>
        <w:t xml:space="preserve"> </w:t>
      </w:r>
      <w:r>
        <w:rPr>
          <w:iCs/>
          <w:i/>
        </w:rPr>
        <w:t xml:space="preserve">Population Research and Policy Review</w:t>
      </w:r>
      <w:r>
        <w:t xml:space="preserve"> </w:t>
      </w:r>
      <w:r>
        <w:t xml:space="preserve">32 (5): 687–716.</w:t>
      </w:r>
      <w:r>
        <w:t xml:space="preserve"> </w:t>
      </w:r>
      <w:hyperlink r:id="rId137">
        <w:r>
          <w:rPr>
            <w:rStyle w:val="Hyperlink"/>
          </w:rPr>
          <w:t xml:space="preserve">https://doi.org/10.1007/s11113-013-9280-y</w:t>
        </w:r>
      </w:hyperlink>
      <w:r>
        <w:t xml:space="preserve">.</w:t>
      </w:r>
    </w:p>
    <w:bookmarkEnd w:id="138"/>
    <w:bookmarkStart w:id="140" w:name="ref-spring_2021_gentrification"/>
    <w:p>
      <w:pPr>
        <w:pStyle w:val="Bibliography"/>
      </w:pPr>
      <w:r>
        <w:t xml:space="preserve">Spring, Amy, and Kayla Charleston. 2021.</w:t>
      </w:r>
      <w:r>
        <w:t xml:space="preserve"> </w:t>
      </w:r>
      <w:r>
        <w:t xml:space="preserve">“Gentrification and the</w:t>
      </w:r>
      <w:r>
        <w:t xml:space="preserve"> </w:t>
      </w:r>
      <w:r>
        <w:t xml:space="preserve">Shifting Geography</w:t>
      </w:r>
      <w:r>
        <w:t xml:space="preserve"> </w:t>
      </w:r>
      <w:r>
        <w:t xml:space="preserve">of</w:t>
      </w:r>
      <w:r>
        <w:t xml:space="preserve"> </w:t>
      </w:r>
      <w:r>
        <w:t xml:space="preserve">Male Same-Sex Couples</w:t>
      </w:r>
      <w:r>
        <w:t xml:space="preserve">.”</w:t>
      </w:r>
      <w:r>
        <w:t xml:space="preserve"> </w:t>
      </w:r>
      <w:r>
        <w:rPr>
          <w:iCs/>
          <w:i/>
        </w:rPr>
        <w:t xml:space="preserve">Population Research and Policy Review</w:t>
      </w:r>
      <w:r>
        <w:t xml:space="preserve"> </w:t>
      </w:r>
      <w:r>
        <w:t xml:space="preserve">40 (6): 1163–94.</w:t>
      </w:r>
      <w:r>
        <w:t xml:space="preserve"> </w:t>
      </w:r>
      <w:hyperlink r:id="rId139">
        <w:r>
          <w:rPr>
            <w:rStyle w:val="Hyperlink"/>
          </w:rPr>
          <w:t xml:space="preserve">https://doi.org/10.1007/s11113-020-09625-4</w:t>
        </w:r>
      </w:hyperlink>
      <w:r>
        <w:t xml:space="preserve">.</w:t>
      </w:r>
    </w:p>
    <w:bookmarkEnd w:id="140"/>
    <w:bookmarkStart w:id="142" w:name="ref-spring_2024_new"/>
    <w:p>
      <w:pPr>
        <w:pStyle w:val="Bibliography"/>
      </w:pPr>
      <w:r>
        <w:t xml:space="preserve">Spring, Amy, and Amin Ghaziani. 2024.</w:t>
      </w:r>
      <w:r>
        <w:t xml:space="preserve"> </w:t>
      </w:r>
      <w:r>
        <w:t xml:space="preserve">“New</w:t>
      </w:r>
      <w:r>
        <w:t xml:space="preserve"> </w:t>
      </w:r>
      <w:r>
        <w:t xml:space="preserve">Evidence From Census</w:t>
      </w:r>
      <w:r>
        <w:t xml:space="preserve"> </w:t>
      </w:r>
      <w:r>
        <w:t xml:space="preserve">2020 on the</w:t>
      </w:r>
      <w:r>
        <w:t xml:space="preserve"> </w:t>
      </w:r>
      <w:r>
        <w:t xml:space="preserve">Residential Segregation</w:t>
      </w:r>
      <w:r>
        <w:t xml:space="preserve"> </w:t>
      </w:r>
      <w:r>
        <w:t xml:space="preserve">of</w:t>
      </w:r>
      <w:r>
        <w:t xml:space="preserve"> </w:t>
      </w:r>
      <w:r>
        <w:t xml:space="preserve">Same-Sex Households</w:t>
      </w:r>
      <w:r>
        <w:t xml:space="preserve">:</w:t>
      </w:r>
      <w:r>
        <w:t xml:space="preserve"> </w:t>
      </w:r>
      <w:r>
        <w:t xml:space="preserve">A Research Note</w:t>
      </w:r>
      <w:r>
        <w:t xml:space="preserve">.”</w:t>
      </w:r>
      <w:r>
        <w:t xml:space="preserve"> </w:t>
      </w:r>
      <w:r>
        <w:rPr>
          <w:iCs/>
          <w:i/>
        </w:rPr>
        <w:t xml:space="preserve">Demography</w:t>
      </w:r>
      <w:r>
        <w:t xml:space="preserve"> </w:t>
      </w:r>
      <w:r>
        <w:t xml:space="preserve">61 (4): 995–1009.</w:t>
      </w:r>
      <w:r>
        <w:t xml:space="preserve"> </w:t>
      </w:r>
      <w:hyperlink r:id="rId141">
        <w:r>
          <w:rPr>
            <w:rStyle w:val="Hyperlink"/>
          </w:rPr>
          <w:t xml:space="preserve">https://doi.org/10.1215/00703370-11482174</w:t>
        </w:r>
      </w:hyperlink>
      <w:r>
        <w:t xml:space="preserve">.</w:t>
      </w:r>
    </w:p>
    <w:bookmarkEnd w:id="142"/>
    <w:bookmarkStart w:id="144" w:name="ref-stone_2018_geography"/>
    <w:p>
      <w:pPr>
        <w:pStyle w:val="Bibliography"/>
      </w:pPr>
      <w:r>
        <w:t xml:space="preserve">Stone, Amy L. 2018.</w:t>
      </w:r>
      <w:r>
        <w:t xml:space="preserve"> </w:t>
      </w:r>
      <w:r>
        <w:t xml:space="preserve">“The</w:t>
      </w:r>
      <w:r>
        <w:t xml:space="preserve"> </w:t>
      </w:r>
      <w:r>
        <w:t xml:space="preserve">Geography</w:t>
      </w:r>
      <w:r>
        <w:t xml:space="preserve"> </w:t>
      </w:r>
      <w:r>
        <w:t xml:space="preserve">of</w:t>
      </w:r>
      <w:r>
        <w:t xml:space="preserve"> </w:t>
      </w:r>
      <w:r>
        <w:t xml:space="preserve">Research</w:t>
      </w:r>
      <w:r>
        <w:t xml:space="preserve"> </w:t>
      </w:r>
      <w:r>
        <w:t xml:space="preserve">on</w:t>
      </w:r>
      <w:r>
        <w:t xml:space="preserve"> </w:t>
      </w:r>
      <w:r>
        <w:t xml:space="preserve">LGBTQ Life</w:t>
      </w:r>
      <w:r>
        <w:t xml:space="preserve">:</w:t>
      </w:r>
      <w:r>
        <w:t xml:space="preserve"> </w:t>
      </w:r>
      <w:r>
        <w:t xml:space="preserve">Why</w:t>
      </w:r>
      <w:r>
        <w:t xml:space="preserve"> </w:t>
      </w:r>
      <w:r>
        <w:t xml:space="preserve">Sociologists Should Study the</w:t>
      </w:r>
      <w:r>
        <w:t xml:space="preserve"> </w:t>
      </w:r>
      <w:r>
        <w:t xml:space="preserve">South</w:t>
      </w:r>
      <w:r>
        <w:t xml:space="preserve">, Rural Queers, and Ordinary Cities.”</w:t>
      </w:r>
      <w:r>
        <w:t xml:space="preserve"> </w:t>
      </w:r>
      <w:r>
        <w:rPr>
          <w:iCs/>
          <w:i/>
        </w:rPr>
        <w:t xml:space="preserve">Sociology Compass</w:t>
      </w:r>
      <w:r>
        <w:t xml:space="preserve"> </w:t>
      </w:r>
      <w:r>
        <w:t xml:space="preserve">12 (11): e12638.</w:t>
      </w:r>
      <w:r>
        <w:t xml:space="preserve"> </w:t>
      </w:r>
      <w:hyperlink r:id="rId143">
        <w:r>
          <w:rPr>
            <w:rStyle w:val="Hyperlink"/>
          </w:rPr>
          <w:t xml:space="preserve">https://doi.org/10.1111/soc4.12638</w:t>
        </w:r>
      </w:hyperlink>
      <w:r>
        <w:t xml:space="preserve">.</w:t>
      </w:r>
    </w:p>
    <w:bookmarkEnd w:id="144"/>
    <w:bookmarkStart w:id="145" w:name="ref-stuesse_2016_scratching"/>
    <w:p>
      <w:pPr>
        <w:pStyle w:val="Bibliography"/>
      </w:pPr>
      <w:r>
        <w:t xml:space="preserve">Stuesse, Angela. 2016.</w:t>
      </w:r>
      <w:r>
        <w:t xml:space="preserve"> </w:t>
      </w:r>
      <w:r>
        <w:rPr>
          <w:iCs/>
          <w:i/>
        </w:rPr>
        <w:t xml:space="preserve">Scratching</w:t>
      </w:r>
      <w:r>
        <w:rPr>
          <w:iCs/>
          <w:i/>
        </w:rPr>
        <w:t xml:space="preserve"> </w:t>
      </w:r>
      <w:r>
        <w:rPr>
          <w:iCs/>
          <w:i/>
        </w:rPr>
        <w:t xml:space="preserve">Out</w:t>
      </w:r>
      <w:r>
        <w:rPr>
          <w:iCs/>
          <w:i/>
        </w:rPr>
        <w:t xml:space="preserve"> </w:t>
      </w:r>
      <w:r>
        <w:rPr>
          <w:iCs/>
          <w:i/>
        </w:rPr>
        <w:t xml:space="preserve">a</w:t>
      </w:r>
      <w:r>
        <w:rPr>
          <w:iCs/>
          <w:i/>
        </w:rPr>
        <w:t xml:space="preserve"> </w:t>
      </w:r>
      <w:r>
        <w:rPr>
          <w:iCs/>
          <w:i/>
        </w:rPr>
        <w:t xml:space="preserve">Living</w:t>
      </w:r>
      <w:r>
        <w:rPr>
          <w:iCs/>
          <w:i/>
        </w:rPr>
        <w:t xml:space="preserve">:</w:t>
      </w:r>
      <w:r>
        <w:rPr>
          <w:iCs/>
          <w:i/>
        </w:rPr>
        <w:t xml:space="preserve"> </w:t>
      </w:r>
      <w:r>
        <w:rPr>
          <w:iCs/>
          <w:i/>
        </w:rPr>
        <w:t xml:space="preserve">Latinos</w:t>
      </w:r>
      <w:r>
        <w:rPr>
          <w:iCs/>
          <w:i/>
        </w:rPr>
        <w:t xml:space="preserve">,</w:t>
      </w:r>
      <w:r>
        <w:rPr>
          <w:iCs/>
          <w:i/>
        </w:rPr>
        <w:t xml:space="preserve"> </w:t>
      </w:r>
      <w:r>
        <w:rPr>
          <w:iCs/>
          <w:i/>
        </w:rPr>
        <w:t xml:space="preserve">Race</w:t>
      </w:r>
      <w:r>
        <w:rPr>
          <w:iCs/>
          <w:i/>
        </w:rPr>
        <w:t xml:space="preserve">, and</w:t>
      </w:r>
      <w:r>
        <w:rPr>
          <w:iCs/>
          <w:i/>
        </w:rPr>
        <w:t xml:space="preserve"> </w:t>
      </w:r>
      <w:r>
        <w:rPr>
          <w:iCs/>
          <w:i/>
        </w:rPr>
        <w:t xml:space="preserve">Work</w:t>
      </w:r>
      <w:r>
        <w:rPr>
          <w:iCs/>
          <w:i/>
        </w:rPr>
        <w:t xml:space="preserve"> </w:t>
      </w:r>
      <w:r>
        <w:rPr>
          <w:iCs/>
          <w:i/>
        </w:rPr>
        <w:t xml:space="preserve">in the</w:t>
      </w:r>
      <w:r>
        <w:rPr>
          <w:iCs/>
          <w:i/>
        </w:rPr>
        <w:t xml:space="preserve"> </w:t>
      </w:r>
      <w:r>
        <w:rPr>
          <w:iCs/>
          <w:i/>
        </w:rPr>
        <w:t xml:space="preserve">Deep South</w:t>
      </w:r>
      <w:r>
        <w:t xml:space="preserve">. First edition. Oakland, California: University of California Press.</w:t>
      </w:r>
    </w:p>
    <w:bookmarkEnd w:id="145"/>
    <w:bookmarkStart w:id="146" w:name="ref-todaro_1980"/>
    <w:p>
      <w:pPr>
        <w:pStyle w:val="Bibliography"/>
      </w:pPr>
      <w:r>
        <w:t xml:space="preserve">Todaro, Michael. 1980.</w:t>
      </w:r>
      <w:r>
        <w:t xml:space="preserve"> </w:t>
      </w:r>
      <w:r>
        <w:t xml:space="preserve">“Internal Migration in Developing Countries:</w:t>
      </w:r>
      <w:r>
        <w:t xml:space="preserve"> </w:t>
      </w:r>
      <w:r>
        <w:t xml:space="preserve">A</w:t>
      </w:r>
      <w:r>
        <w:t xml:space="preserve"> </w:t>
      </w:r>
      <w:r>
        <w:t xml:space="preserve">Survey.”</w:t>
      </w:r>
      <w:r>
        <w:t xml:space="preserve"> </w:t>
      </w:r>
      <w:r>
        <w:t xml:space="preserve">In</w:t>
      </w:r>
      <w:r>
        <w:t xml:space="preserve"> </w:t>
      </w:r>
      <w:r>
        <w:rPr>
          <w:iCs/>
          <w:i/>
        </w:rPr>
        <w:t xml:space="preserve">Population and Economic Change in Developing Countries</w:t>
      </w:r>
      <w:r>
        <w:t xml:space="preserve">, 361–402. Chicago: University of Chicago Press.</w:t>
      </w:r>
    </w:p>
    <w:bookmarkEnd w:id="146"/>
    <w:bookmarkStart w:id="147" w:name="ref-u.s.censusbureau_2013"/>
    <w:p>
      <w:pPr>
        <w:pStyle w:val="Bibliography"/>
      </w:pPr>
      <w:r>
        <w:t xml:space="preserve">U.S. Census Bureau. 2013.</w:t>
      </w:r>
      <w:r>
        <w:t xml:space="preserve"> </w:t>
      </w:r>
      <w:r>
        <w:t xml:space="preserve">“Frequently</w:t>
      </w:r>
      <w:r>
        <w:t xml:space="preserve"> </w:t>
      </w:r>
      <w:r>
        <w:t xml:space="preserve">Asked Questions About Same-Sex Couple Households</w:t>
      </w:r>
      <w:r>
        <w:t xml:space="preserve">.”</w:t>
      </w:r>
      <w:r>
        <w:t xml:space="preserve"> </w:t>
      </w:r>
      <w:r>
        <w:t xml:space="preserve">U.S. Census Bureau Fertility and Family Statistics Branch</w:t>
      </w:r>
      <w:r>
        <w:t xml:space="preserve">.</w:t>
      </w:r>
    </w:p>
    <w:bookmarkEnd w:id="147"/>
    <w:bookmarkStart w:id="149" w:name="ref-velasco_2022_deconstructed"/>
    <w:p>
      <w:pPr>
        <w:pStyle w:val="Bibliography"/>
      </w:pPr>
      <w:r>
        <w:t xml:space="preserve">Velasco, Kristopher, and Pamela Paxton. 2022.</w:t>
      </w:r>
      <w:r>
        <w:t xml:space="preserve"> </w:t>
      </w:r>
      <w:r>
        <w:t xml:space="preserve">“Deconstructed and</w:t>
      </w:r>
      <w:r>
        <w:t xml:space="preserve"> </w:t>
      </w:r>
      <w:r>
        <w:t xml:space="preserve">Constructive Logics</w:t>
      </w:r>
      <w:r>
        <w:t xml:space="preserve">:</w:t>
      </w:r>
      <w:r>
        <w:t xml:space="preserve"> </w:t>
      </w:r>
      <w:r>
        <w:t xml:space="preserve">Explaining Inclusive Language Change</w:t>
      </w:r>
      <w:r>
        <w:t xml:space="preserve"> </w:t>
      </w:r>
      <w:r>
        <w:t xml:space="preserve">in</w:t>
      </w:r>
      <w:r>
        <w:t xml:space="preserve"> </w:t>
      </w:r>
      <w:r>
        <w:t xml:space="preserve">Queer Nonprofits</w:t>
      </w:r>
      <w:r>
        <w:t xml:space="preserve">, 1998–2016.”</w:t>
      </w:r>
      <w:r>
        <w:t xml:space="preserve"> </w:t>
      </w:r>
      <w:r>
        <w:rPr>
          <w:iCs/>
          <w:i/>
        </w:rPr>
        <w:t xml:space="preserve">American Journal of Sociology</w:t>
      </w:r>
      <w:r>
        <w:t xml:space="preserve"> </w:t>
      </w:r>
      <w:r>
        <w:t xml:space="preserve">127 (4): 1267–1310.</w:t>
      </w:r>
      <w:r>
        <w:t xml:space="preserve"> </w:t>
      </w:r>
      <w:hyperlink r:id="rId148">
        <w:r>
          <w:rPr>
            <w:rStyle w:val="Hyperlink"/>
          </w:rPr>
          <w:t xml:space="preserve">https://doi.org/10.1086/718279</w:t>
        </w:r>
      </w:hyperlink>
      <w:r>
        <w:t xml:space="preserve">.</w:t>
      </w:r>
    </w:p>
    <w:bookmarkEnd w:id="149"/>
    <w:bookmarkStart w:id="151" w:name="ref-vogler_2016"/>
    <w:p>
      <w:pPr>
        <w:pStyle w:val="Bibliography"/>
      </w:pPr>
      <w:r>
        <w:t xml:space="preserve">Vogler, Stefan. 2016.</w:t>
      </w:r>
      <w:r>
        <w:t xml:space="preserve"> </w:t>
      </w:r>
      <w:r>
        <w:t xml:space="preserve">“Legally</w:t>
      </w:r>
      <w:r>
        <w:t xml:space="preserve"> </w:t>
      </w:r>
      <w:r>
        <w:t xml:space="preserve">Queer</w:t>
      </w:r>
      <w:r>
        <w:t xml:space="preserve">:</w:t>
      </w:r>
      <w:r>
        <w:t xml:space="preserve"> </w:t>
      </w:r>
      <w:r>
        <w:t xml:space="preserve">The Construction</w:t>
      </w:r>
      <w:r>
        <w:t xml:space="preserve"> </w:t>
      </w:r>
      <w:r>
        <w:t xml:space="preserve">of</w:t>
      </w:r>
      <w:r>
        <w:t xml:space="preserve"> </w:t>
      </w:r>
      <w:r>
        <w:t xml:space="preserve">Sexuality</w:t>
      </w:r>
      <w:r>
        <w:t xml:space="preserve"> </w:t>
      </w:r>
      <w:r>
        <w:t xml:space="preserve">in</w:t>
      </w:r>
      <w:r>
        <w:t xml:space="preserve"> </w:t>
      </w:r>
      <w:r>
        <w:t xml:space="preserve">LGBQ Asylum Claims</w:t>
      </w:r>
      <w:r>
        <w:t xml:space="preserve">.”</w:t>
      </w:r>
      <w:r>
        <w:t xml:space="preserve"> </w:t>
      </w:r>
      <w:r>
        <w:rPr>
          <w:iCs/>
          <w:i/>
        </w:rPr>
        <w:t xml:space="preserve">Law &amp; Society Review</w:t>
      </w:r>
      <w:r>
        <w:t xml:space="preserve"> </w:t>
      </w:r>
      <w:r>
        <w:t xml:space="preserve">50 (4): 856–89.</w:t>
      </w:r>
      <w:r>
        <w:t xml:space="preserve"> </w:t>
      </w:r>
      <w:hyperlink r:id="rId150">
        <w:r>
          <w:rPr>
            <w:rStyle w:val="Hyperlink"/>
          </w:rPr>
          <w:t xml:space="preserve">https://doi.org/10.1111/lasr.12239</w:t>
        </w:r>
      </w:hyperlink>
      <w:r>
        <w:t xml:space="preserve">.</w:t>
      </w:r>
    </w:p>
    <w:bookmarkEnd w:id="151"/>
    <w:bookmarkStart w:id="153" w:name="ref-waldinger_2023_impeding"/>
    <w:p>
      <w:pPr>
        <w:pStyle w:val="Bibliography"/>
      </w:pPr>
      <w:r>
        <w:t xml:space="preserve">Waldinger, Roger, Nathan I. Hoffmann, and Peter Catron. 2023.</w:t>
      </w:r>
      <w:r>
        <w:t xml:space="preserve"> </w:t>
      </w:r>
      <w:r>
        <w:t xml:space="preserve">“Impeding</w:t>
      </w:r>
      <w:r>
        <w:t xml:space="preserve"> </w:t>
      </w:r>
      <w:r>
        <w:t xml:space="preserve">Access</w:t>
      </w:r>
      <w:r>
        <w:t xml:space="preserve">:</w:t>
      </w:r>
      <w:r>
        <w:t xml:space="preserve"> </w:t>
      </w:r>
      <w:r>
        <w:t xml:space="preserve">Immigrants</w:t>
      </w:r>
      <w:r>
        <w:t xml:space="preserve"> </w:t>
      </w:r>
      <w:r>
        <w:t xml:space="preserve">and</w:t>
      </w:r>
      <w:r>
        <w:t xml:space="preserve"> </w:t>
      </w:r>
      <w:r>
        <w:t xml:space="preserve">Naturalization</w:t>
      </w:r>
      <w:r>
        <w:t xml:space="preserve"> </w:t>
      </w:r>
      <w:r>
        <w:t xml:space="preserve">in</w:t>
      </w:r>
      <w:r>
        <w:t xml:space="preserve"> </w:t>
      </w:r>
      <w:r>
        <w:t xml:space="preserve">Early</w:t>
      </w:r>
      <w:r>
        <w:t xml:space="preserve"> </w:t>
      </w:r>
      <w:r>
        <w:t xml:space="preserve">Twentieth-</w:t>
      </w:r>
      <w:r>
        <w:t xml:space="preserve">Century America</w:t>
      </w:r>
      <w:r>
        <w:t xml:space="preserve">.”</w:t>
      </w:r>
      <w:r>
        <w:t xml:space="preserve"> </w:t>
      </w:r>
      <w:r>
        <w:t xml:space="preserve">OSF.</w:t>
      </w:r>
      <w:r>
        <w:t xml:space="preserve"> </w:t>
      </w:r>
      <w:hyperlink r:id="rId152">
        <w:r>
          <w:rPr>
            <w:rStyle w:val="Hyperlink"/>
          </w:rPr>
          <w:t xml:space="preserve">https://doi.org/10.31235/osf.io/6wx2h</w:t>
        </w:r>
      </w:hyperlink>
      <w:r>
        <w:t xml:space="preserve">.</w:t>
      </w:r>
    </w:p>
    <w:bookmarkEnd w:id="153"/>
    <w:bookmarkStart w:id="155" w:name="ref-waters_2005"/>
    <w:p>
      <w:pPr>
        <w:pStyle w:val="Bibliography"/>
      </w:pPr>
      <w:r>
        <w:t xml:space="preserve">Waters, Mary C., and Tomás R. Jiménez. 2005.</w:t>
      </w:r>
      <w:r>
        <w:t xml:space="preserve"> </w:t>
      </w:r>
      <w:r>
        <w:t xml:space="preserve">“Assessing</w:t>
      </w:r>
      <w:r>
        <w:t xml:space="preserve"> </w:t>
      </w:r>
      <w:r>
        <w:t xml:space="preserve">Immigrant Assimilation</w:t>
      </w:r>
      <w:r>
        <w:t xml:space="preserve">:</w:t>
      </w:r>
      <w:r>
        <w:t xml:space="preserve"> </w:t>
      </w:r>
      <w:r>
        <w:t xml:space="preserve">New Empirical</w:t>
      </w:r>
      <w:r>
        <w:t xml:space="preserve"> </w:t>
      </w:r>
      <w:r>
        <w:t xml:space="preserve">and</w:t>
      </w:r>
      <w:r>
        <w:t xml:space="preserve"> </w:t>
      </w:r>
      <w:r>
        <w:t xml:space="preserve">Theoretical Challenges</w:t>
      </w:r>
      <w:r>
        <w:t xml:space="preserve">.”</w:t>
      </w:r>
      <w:r>
        <w:t xml:space="preserve"> </w:t>
      </w:r>
      <w:r>
        <w:rPr>
          <w:iCs/>
          <w:i/>
        </w:rPr>
        <w:t xml:space="preserve">Annual Review of Sociology</w:t>
      </w:r>
      <w:r>
        <w:t xml:space="preserve"> </w:t>
      </w:r>
      <w:r>
        <w:t xml:space="preserve">31 (1): 105–25.</w:t>
      </w:r>
      <w:r>
        <w:t xml:space="preserve"> </w:t>
      </w:r>
      <w:hyperlink r:id="rId154">
        <w:r>
          <w:rPr>
            <w:rStyle w:val="Hyperlink"/>
          </w:rPr>
          <w:t xml:space="preserve">https://doi.org/10.1146/annurev.soc.29.010202.100026</w:t>
        </w:r>
      </w:hyperlink>
      <w:r>
        <w:t xml:space="preserve">.</w:t>
      </w:r>
    </w:p>
    <w:bookmarkEnd w:id="155"/>
    <w:bookmarkStart w:id="157" w:name="ref-watson_2013_enforcement"/>
    <w:p>
      <w:pPr>
        <w:pStyle w:val="Bibliography"/>
      </w:pPr>
      <w:r>
        <w:t xml:space="preserve">Watson, Tara. 2013.</w:t>
      </w:r>
      <w:r>
        <w:t xml:space="preserve"> </w:t>
      </w:r>
      <w:r>
        <w:t xml:space="preserve">“Enforcement and</w:t>
      </w:r>
      <w:r>
        <w:t xml:space="preserve"> </w:t>
      </w:r>
      <w:r>
        <w:t xml:space="preserve">Immigrant Location Choice</w:t>
      </w:r>
      <w:r>
        <w:t xml:space="preserve">.”</w:t>
      </w:r>
      <w:r>
        <w:t xml:space="preserve"> </w:t>
      </w:r>
      <w:r>
        <w:t xml:space="preserve">Working {{Paper}}. Working</w:t>
      </w:r>
      <w:r>
        <w:t xml:space="preserve"> </w:t>
      </w:r>
      <w:r>
        <w:t xml:space="preserve">Paper Series</w:t>
      </w:r>
      <w:r>
        <w:t xml:space="preserve">. National Bureau of Economic Research.</w:t>
      </w:r>
      <w:r>
        <w:t xml:space="preserve"> </w:t>
      </w:r>
      <w:hyperlink r:id="rId156">
        <w:r>
          <w:rPr>
            <w:rStyle w:val="Hyperlink"/>
          </w:rPr>
          <w:t xml:space="preserve">https://doi.org/10.3386/w19626</w:t>
        </w:r>
      </w:hyperlink>
      <w:r>
        <w:t xml:space="preserve">.</w:t>
      </w:r>
    </w:p>
    <w:bookmarkEnd w:id="157"/>
    <w:bookmarkStart w:id="159" w:name="ref-wimark_2014_city"/>
    <w:p>
      <w:pPr>
        <w:pStyle w:val="Bibliography"/>
      </w:pPr>
      <w:r>
        <w:t xml:space="preserve">Wimark, Thomas, and John Östh. 2014.</w:t>
      </w:r>
      <w:r>
        <w:t xml:space="preserve"> </w:t>
      </w:r>
      <w:r>
        <w:t xml:space="preserve">“The</w:t>
      </w:r>
      <w:r>
        <w:t xml:space="preserve"> </w:t>
      </w:r>
      <w:r>
        <w:t xml:space="preserve">City</w:t>
      </w:r>
      <w:r>
        <w:t xml:space="preserve"> </w:t>
      </w:r>
      <w:r>
        <w:t xml:space="preserve">as a</w:t>
      </w:r>
      <w:r>
        <w:t xml:space="preserve"> </w:t>
      </w:r>
      <w:r>
        <w:t xml:space="preserve">Single Gay Male Magnet</w:t>
      </w:r>
      <w:r>
        <w:t xml:space="preserve">?</w:t>
      </w:r>
      <w:r>
        <w:t xml:space="preserve"> </w:t>
      </w:r>
      <w:r>
        <w:t xml:space="preserve">Gay</w:t>
      </w:r>
      <w:r>
        <w:t xml:space="preserve"> </w:t>
      </w:r>
      <w:r>
        <w:t xml:space="preserve">and</w:t>
      </w:r>
      <w:r>
        <w:t xml:space="preserve"> </w:t>
      </w:r>
      <w:r>
        <w:t xml:space="preserve">Lesbian Geographical Concentration</w:t>
      </w:r>
      <w:r>
        <w:t xml:space="preserve"> </w:t>
      </w:r>
      <w:r>
        <w:t xml:space="preserve">in</w:t>
      </w:r>
      <w:r>
        <w:t xml:space="preserve"> </w:t>
      </w:r>
      <w:r>
        <w:t xml:space="preserve">Sweden</w:t>
      </w:r>
      <w:r>
        <w:t xml:space="preserve">:</w:t>
      </w:r>
      <w:r>
        <w:t xml:space="preserve"> </w:t>
      </w:r>
      <w:r>
        <w:t xml:space="preserve">The City</w:t>
      </w:r>
      <w:r>
        <w:t xml:space="preserve"> </w:t>
      </w:r>
      <w:r>
        <w:t xml:space="preserve">as a</w:t>
      </w:r>
      <w:r>
        <w:t xml:space="preserve"> </w:t>
      </w:r>
      <w:r>
        <w:t xml:space="preserve">Single Gay Male Magnet</w:t>
      </w:r>
      <w:r>
        <w:t xml:space="preserve">.”</w:t>
      </w:r>
      <w:r>
        <w:t xml:space="preserve"> </w:t>
      </w:r>
      <w:r>
        <w:rPr>
          <w:iCs/>
          <w:i/>
        </w:rPr>
        <w:t xml:space="preserve">Population, Space and Place</w:t>
      </w:r>
      <w:r>
        <w:t xml:space="preserve"> </w:t>
      </w:r>
      <w:r>
        <w:t xml:space="preserve">20 (8): 739–52.</w:t>
      </w:r>
      <w:r>
        <w:t xml:space="preserve"> </w:t>
      </w:r>
      <w:hyperlink r:id="rId158">
        <w:r>
          <w:rPr>
            <w:rStyle w:val="Hyperlink"/>
          </w:rPr>
          <w:t xml:space="preserve">https://doi.org/10.1002/psp.1825</w:t>
        </w:r>
      </w:hyperlink>
      <w:r>
        <w:t xml:space="preserve">.</w:t>
      </w:r>
    </w:p>
    <w:bookmarkEnd w:id="159"/>
    <w:bookmarkStart w:id="161" w:name="ref-yang_2024_rethinking"/>
    <w:p>
      <w:pPr>
        <w:pStyle w:val="Bibliography"/>
      </w:pPr>
      <w:r>
        <w:t xml:space="preserve">Yang, Tori Shucheng. 2024.</w:t>
      </w:r>
      <w:r>
        <w:t xml:space="preserve"> </w:t>
      </w:r>
      <w:r>
        <w:t xml:space="preserve">“Rethinking</w:t>
      </w:r>
      <w:r>
        <w:t xml:space="preserve"> </w:t>
      </w:r>
      <w:r>
        <w:t xml:space="preserve">Queer Migration</w:t>
      </w:r>
      <w:r>
        <w:t xml:space="preserve">:</w:t>
      </w:r>
      <w:r>
        <w:t xml:space="preserve"> </w:t>
      </w:r>
      <w:r>
        <w:t xml:space="preserve">The Case</w:t>
      </w:r>
      <w:r>
        <w:t xml:space="preserve"> </w:t>
      </w:r>
      <w:r>
        <w:t xml:space="preserve">of</w:t>
      </w:r>
      <w:r>
        <w:t xml:space="preserve"> </w:t>
      </w:r>
      <w:r>
        <w:t xml:space="preserve">Skilled Chinese LGBTQ</w:t>
      </w:r>
      <w:r>
        <w:t xml:space="preserve">+</w:t>
      </w:r>
      <w:r>
        <w:t xml:space="preserve"> </w:t>
      </w:r>
      <w:r>
        <w:t xml:space="preserve">Migrants</w:t>
      </w:r>
      <w:r>
        <w:t xml:space="preserve"> </w:t>
      </w:r>
      <w:r>
        <w:t xml:space="preserve">in</w:t>
      </w:r>
      <w:r>
        <w:t xml:space="preserve"> </w:t>
      </w:r>
      <w:r>
        <w:t xml:space="preserve">North America</w:t>
      </w:r>
      <w:r>
        <w:t xml:space="preserve">.”</w:t>
      </w:r>
      <w:r>
        <w:t xml:space="preserve"> </w:t>
      </w:r>
      <w:r>
        <w:rPr>
          <w:iCs/>
          <w:i/>
        </w:rPr>
        <w:t xml:space="preserve">International Migration Review</w:t>
      </w:r>
      <w:r>
        <w:t xml:space="preserve">, September, 01979183241280596.</w:t>
      </w:r>
      <w:r>
        <w:t xml:space="preserve"> </w:t>
      </w:r>
      <w:hyperlink r:id="rId160">
        <w:r>
          <w:rPr>
            <w:rStyle w:val="Hyperlink"/>
          </w:rPr>
          <w:t xml:space="preserve">https://doi.org/10.1177/01979183241280596</w:t>
        </w:r>
      </w:hyperlink>
      <w:r>
        <w:t xml:space="preserve">.</w:t>
      </w:r>
    </w:p>
    <w:bookmarkEnd w:id="161"/>
    <w:bookmarkStart w:id="162" w:name="ref-zolberg_2008_nation"/>
    <w:p>
      <w:pPr>
        <w:pStyle w:val="Bibliography"/>
      </w:pPr>
      <w:r>
        <w:t xml:space="preserve">Zolberg, Aristide R. 2008.</w:t>
      </w:r>
      <w:r>
        <w:t xml:space="preserve"> </w:t>
      </w:r>
      <w:r>
        <w:rPr>
          <w:iCs/>
          <w:i/>
        </w:rPr>
        <w:t xml:space="preserve">A</w:t>
      </w:r>
      <w:r>
        <w:rPr>
          <w:iCs/>
          <w:i/>
        </w:rPr>
        <w:t xml:space="preserve"> </w:t>
      </w:r>
      <w:r>
        <w:rPr>
          <w:iCs/>
          <w:i/>
        </w:rPr>
        <w:t xml:space="preserve">Nation</w:t>
      </w:r>
      <w:r>
        <w:rPr>
          <w:iCs/>
          <w:i/>
        </w:rPr>
        <w:t xml:space="preserve"> </w:t>
      </w:r>
      <w:r>
        <w:rPr>
          <w:iCs/>
          <w:i/>
        </w:rPr>
        <w:t xml:space="preserve">by</w:t>
      </w:r>
      <w:r>
        <w:rPr>
          <w:iCs/>
          <w:i/>
        </w:rPr>
        <w:t xml:space="preserve"> </w:t>
      </w:r>
      <w:r>
        <w:rPr>
          <w:iCs/>
          <w:i/>
        </w:rPr>
        <w:t xml:space="preserve">Design</w:t>
      </w:r>
      <w:r>
        <w:rPr>
          <w:iCs/>
          <w:i/>
        </w:rPr>
        <w:t xml:space="preserve">:</w:t>
      </w:r>
      <w:r>
        <w:rPr>
          <w:iCs/>
          <w:i/>
        </w:rPr>
        <w:t xml:space="preserve"> </w:t>
      </w:r>
      <w:r>
        <w:rPr>
          <w:iCs/>
          <w:i/>
        </w:rPr>
        <w:t xml:space="preserve">Immigration Policy</w:t>
      </w:r>
      <w:r>
        <w:rPr>
          <w:iCs/>
          <w:i/>
        </w:rPr>
        <w:t xml:space="preserve"> </w:t>
      </w:r>
      <w:r>
        <w:rPr>
          <w:iCs/>
          <w:i/>
        </w:rPr>
        <w:t xml:space="preserve">in the</w:t>
      </w:r>
      <w:r>
        <w:rPr>
          <w:iCs/>
          <w:i/>
        </w:rPr>
        <w:t xml:space="preserve"> </w:t>
      </w:r>
      <w:r>
        <w:rPr>
          <w:iCs/>
          <w:i/>
        </w:rPr>
        <w:t xml:space="preserve">Fashioning</w:t>
      </w:r>
      <w:r>
        <w:rPr>
          <w:iCs/>
          <w:i/>
        </w:rPr>
        <w:t xml:space="preserve"> </w:t>
      </w:r>
      <w:r>
        <w:rPr>
          <w:iCs/>
          <w:i/>
        </w:rPr>
        <w:t xml:space="preserve">of</w:t>
      </w:r>
      <w:r>
        <w:rPr>
          <w:iCs/>
          <w:i/>
        </w:rPr>
        <w:t xml:space="preserve"> </w:t>
      </w:r>
      <w:r>
        <w:rPr>
          <w:iCs/>
          <w:i/>
        </w:rPr>
        <w:t xml:space="preserve">America</w:t>
      </w:r>
      <w:r>
        <w:t xml:space="preserve">. New York, NY: Harvard University Press.</w:t>
      </w:r>
    </w:p>
    <w:bookmarkEnd w:id="162"/>
    <w:bookmarkStart w:id="163" w:name="ref-zuniga_2005_new"/>
    <w:p>
      <w:pPr>
        <w:pStyle w:val="Bibliography"/>
      </w:pPr>
      <w:r>
        <w:t xml:space="preserve">Zúñiga, Victor, and Rubén Hernández-León, eds. 2005.</w:t>
      </w:r>
      <w:r>
        <w:t xml:space="preserve"> </w:t>
      </w:r>
      <w:r>
        <w:rPr>
          <w:iCs/>
          <w:i/>
        </w:rPr>
        <w:t xml:space="preserve">New</w:t>
      </w:r>
      <w:r>
        <w:rPr>
          <w:iCs/>
          <w:i/>
        </w:rPr>
        <w:t xml:space="preserve"> </w:t>
      </w:r>
      <w:r>
        <w:rPr>
          <w:iCs/>
          <w:i/>
        </w:rPr>
        <w:t xml:space="preserve">Destinations</w:t>
      </w:r>
      <w:r>
        <w:rPr>
          <w:iCs/>
          <w:i/>
        </w:rPr>
        <w:t xml:space="preserve">:</w:t>
      </w:r>
      <w:r>
        <w:rPr>
          <w:iCs/>
          <w:i/>
        </w:rPr>
        <w:t xml:space="preserve"> </w:t>
      </w:r>
      <w:r>
        <w:rPr>
          <w:iCs/>
          <w:i/>
        </w:rPr>
        <w:t xml:space="preserve">Mexican Immigration</w:t>
      </w:r>
      <w:r>
        <w:rPr>
          <w:iCs/>
          <w:i/>
        </w:rPr>
        <w:t xml:space="preserve"> </w:t>
      </w:r>
      <w:r>
        <w:rPr>
          <w:iCs/>
          <w:i/>
        </w:rPr>
        <w:t xml:space="preserve">in the</w:t>
      </w:r>
      <w:r>
        <w:rPr>
          <w:iCs/>
          <w:i/>
        </w:rPr>
        <w:t xml:space="preserve"> </w:t>
      </w:r>
      <w:r>
        <w:rPr>
          <w:iCs/>
          <w:i/>
        </w:rPr>
        <w:t xml:space="preserve">United States</w:t>
      </w:r>
      <w:r>
        <w:t xml:space="preserve">. Illustrated edition. New York, NY: Russell Sage Foundation.</w:t>
      </w:r>
    </w:p>
    <w:bookmarkEnd w:id="163"/>
    <w:bookmarkEnd w:id="164"/>
    <w:p>
      <w:r>
        <w:br w:type="page"/>
      </w:r>
    </w:p>
    <w:bookmarkEnd w:id="165"/>
    <w:bookmarkStart w:id="168" w:name="tables"/>
    <w:p>
      <w:pPr>
        <w:pStyle w:val="Heading1"/>
      </w:pPr>
      <w:r>
        <w:t xml:space="preserve">Tables</w:t>
      </w:r>
    </w:p>
    <w:p>
      <w:pPr>
        <w:pStyle w:val="TableCaption"/>
      </w:pPr>
      <w:bookmarkStart w:id="166" w:name="tab:desc-ind"/>
      <w:bookmarkEnd w:id="166"/>
      <w:r>
        <w:t xml:space="preserve">Table 1:</w:t>
      </w:r>
      <w:r>
        <w:t xml:space="preserve"> </w:t>
      </w:r>
      <w:r>
        <w:t xml:space="preserve">Mean values for individual variables for immigrants in different- or same-sex couples, 2008-2019 and 2021-2023. For same-sex couples, the married variable is coded as missing before 2012.</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022"/>
        <w:gridCol w:w="1930"/>
        <w:gridCol w:w="1695"/>
        <w:gridCol w:w="1993"/>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Gross Income (Thousands)</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56.320</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73.324</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73.392</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High school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0.891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0.971</w:t>
            </w:r>
          </w:p>
        </w:tc>
      </w:tr>
      <w:tr>
        <w:trPr>
          <w:trHeight w:val="611"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Four-year college graduate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0.472</w:t>
            </w:r>
          </w:p>
        </w:tc>
      </w:tr>
      <w:tr>
        <w:trPr>
          <w:trHeight w:val="567"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Hauser and Warren Socioeconomic Index</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36.141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40.132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41.982</w:t>
            </w:r>
          </w:p>
        </w:tc>
      </w:tr>
      <w:tr>
        <w:trPr>
          <w:trHeight w:val="566"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Has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0.267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0.217</w:t>
            </w:r>
          </w:p>
        </w:tc>
      </w:tr>
      <w:tr>
        <w:trPr>
          <w:trHeight w:val="566"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Number of children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1.485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0.368</w:t>
            </w:r>
          </w:p>
        </w:tc>
      </w:tr>
      <w:tr>
        <w:trPr>
          <w:trHeight w:val="566"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Married</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r>
      <w:tr>
        <w:trPr>
          <w:trHeight w:val="567"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White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0.189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0.760</w:t>
            </w:r>
          </w:p>
        </w:tc>
      </w:tr>
      <w:tr>
        <w:trPr>
          <w:trHeight w:val="566"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0.074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0.054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0.085</w:t>
            </w:r>
          </w:p>
        </w:tc>
      </w:tr>
      <w:tr>
        <w:trPr>
          <w:trHeight w:val="610"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0.400</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0.396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0.105</w:t>
            </w:r>
          </w:p>
        </w:tc>
      </w:tr>
      <w:tr>
        <w:trPr>
          <w:trHeight w:val="566"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Asian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0.234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0.012</w:t>
            </w:r>
          </w:p>
        </w:tc>
      </w:tr>
      <w:tr>
        <w:trPr>
          <w:trHeight w:val="567"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Multiracial or Other</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0.043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0.039</w:t>
            </w:r>
          </w:p>
        </w:tc>
      </w:tr>
      <w:tr>
        <w:trPr>
          <w:trHeight w:val="607"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Age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45.286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43.613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42.431</w:t>
            </w:r>
          </w:p>
        </w:tc>
      </w:tr>
      <w:tr>
        <w:trPr>
          <w:trHeight w:val="566" w:hRule="auto"/>
        </w:trPr>
        body14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Female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0.518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0.341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0.547</w:t>
            </w:r>
          </w:p>
        </w:tc>
      </w:tr>
      <w:tr>
        <w:trPr>
          <w:trHeight w:val="566" w:hRule="auto"/>
        </w:trPr>
        body15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Male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0.659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0.453</w:t>
            </w:r>
          </w:p>
        </w:tc>
      </w:tr>
      <w:tr>
        <w:trPr>
          <w:trHeight w:val="596" w:hRule="auto"/>
        </w:trPr>
        body16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body17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p>
      <w:pPr>
        <w:pStyle w:val="TableCaption"/>
      </w:pPr>
      <w:bookmarkStart w:id="167" w:name="tab:desc-geo"/>
      <w:bookmarkEnd w:id="167"/>
      <w:r>
        <w:t xml:space="preserve">Table 2:</w:t>
      </w:r>
      <w:r>
        <w:t xml:space="preserve"> </w:t>
      </w:r>
      <w:r>
        <w:t xml:space="preserve">Mean values for geographic variables for immigrants in different- or same-sex couples, 2008-2019 and 2021-2023</w:t>
      </w:r>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w:tblLayout w:type="fixed"/>
        <w:jc w:val="center"/>
        <w:tblLook w:firstRow="1" w:lastRow="0" w:firstColumn="0" w:lastColumn="0" w:noHBand="0" w:noVBand="1"/>
      </w:tblPr>
      <w:tblGrid>
        <w:gridCol w:w="3375"/>
        <w:gridCol w:w="1808"/>
        <w:gridCol w:w="1588"/>
        <w:gridCol w:w="1868"/>
      </w:tblGrid>
      <w:tr>
        <w:trPr>
          <w:trHeight w:val="611" w:hRule="auto"/>
          <w:tblHeader/>
        </w:trPr>
        header 1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Variable</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Different-sex,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immigrant</w:t>
            </w:r>
          </w:p>
        </w:tc>
        <w:tc>
          <w:tcPr>
            <w:tcBorders>
              <w:bottom w:val="single" w:sz="12" w:space="0" w:color="666666"/>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Same-sex, non-immigrant</w:t>
            </w:r>
          </w:p>
        </w:tc>
      </w:tr>
      <w:tr>
        <w:trPr>
          <w:trHeight w:val="610" w:hRule="auto"/>
        </w:trPr>
        body 1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Annual personal income (thousands of 2023 USD)</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52.32</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56.5</w:t>
            </w:r>
          </w:p>
        </w:tc>
        <w:tc>
          <w:tcPr>
            <w:tcBorders>
              <w:bottom w:val="none" w:sz="0" w:space="0" w:color="000000"/>
              <w:top w:val="single" w:sz="12" w:space="0" w:color="666666"/>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52.38</w:t>
            </w:r>
          </w:p>
        </w:tc>
      </w:tr>
      <w:tr>
        <w:trPr>
          <w:trHeight w:val="611" w:hRule="auto"/>
        </w:trPr>
        body 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Unemployed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2.38</w:t>
            </w:r>
          </w:p>
        </w:tc>
      </w:tr>
      <w:tr>
        <w:trPr>
          <w:trHeight w:val="610" w:hRule="auto"/>
        </w:trPr>
        body 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HWSEI occupation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38.2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37.71</w:t>
            </w:r>
          </w:p>
        </w:tc>
      </w:tr>
      <w:tr>
        <w:trPr>
          <w:trHeight w:val="616" w:hRule="auto"/>
        </w:trPr>
        body 4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individual's value of home ($1000s)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549.75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660.7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490.90</w:t>
            </w:r>
          </w:p>
        </w:tc>
      </w:tr>
      <w:tr>
        <w:trPr>
          <w:trHeight w:val="611" w:hRule="auto"/>
        </w:trPr>
        body 5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Bachelor's degree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24.23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27.5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25.17</w:t>
            </w:r>
          </w:p>
        </w:tc>
      </w:tr>
      <w:tr>
        <w:trPr>
          <w:trHeight w:val="610" w:hRule="auto"/>
        </w:trPr>
        body 6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Black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12.07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12.7</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12.98</w:t>
            </w:r>
          </w:p>
        </w:tc>
      </w:tr>
      <w:tr>
        <w:trPr>
          <w:trHeight w:val="610" w:hRule="auto"/>
        </w:trPr>
        body 7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Hispanic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26.88</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25.6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16.29</w:t>
            </w:r>
          </w:p>
        </w:tc>
      </w:tr>
      <w:tr>
        <w:trPr>
          <w:trHeight w:val="611" w:hRule="auto"/>
        </w:trPr>
        body 8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Immigrant (%)</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23.53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22.6</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13.50</w:t>
            </w:r>
          </w:p>
        </w:tc>
      </w:tr>
      <w:tr>
        <w:trPr>
          <w:trHeight w:val="611" w:hRule="auto"/>
        </w:trPr>
        body 9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Density (persons per sq. mile)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8,129.02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11,727.3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6,130.03</w:t>
            </w:r>
          </w:p>
        </w:tc>
      </w:tr>
      <w:tr>
        <w:trPr>
          <w:trHeight w:val="611" w:hRule="auto"/>
        </w:trPr>
        body10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State LGB policy score</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3.9</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3.14</w:t>
            </w:r>
          </w:p>
        </w:tc>
      </w:tr>
      <w:tr>
        <w:trPr>
          <w:trHeight w:val="610" w:hRule="auto"/>
        </w:trPr>
        body11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LGBT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0.32</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1.3</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0.82</w:t>
            </w:r>
          </w:p>
        </w:tc>
      </w:tr>
      <w:tr>
        <w:trPr>
          <w:trHeight w:val="611" w:hRule="auto"/>
        </w:trPr>
        body12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Mean number of immigrant nonprofits</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0.85</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0.90</w:t>
            </w:r>
          </w:p>
        </w:tc>
      </w:tr>
      <w:tr>
        <w:trPr>
          <w:trHeight w:val="596" w:hRule="auto"/>
        </w:trPr>
        body13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1,700,411</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15,014</w:t>
            </w:r>
          </w:p>
        </w:tc>
        <w:tc>
          <w:tcPr>
            <w:tcBorders>
              <w:bottom w:val="none" w:sz="0" w:space="0" w:color="000000"/>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191,085</w:t>
            </w:r>
          </w:p>
        </w:tc>
      </w:tr>
      <w:tr>
        <w:trPr>
          <w:trHeight w:val="611" w:hRule="auto"/>
        </w:trPr>
        body14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lef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n (weighted)</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189,728,749</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1,502,798</w:t>
            </w:r>
          </w:p>
        </w:tc>
        <w:tc>
          <w:tcPr>
            <w:tcBorders>
              <w:bottom w:val="single" w:sz="12" w:space="0" w:color="666666"/>
              <w:top w:val="none" w:sz="0" w:space="0" w:color="000000"/>
              <w:left w:val="none" w:sz="0" w:space="0" w:color="000000"/>
              <w:right w:val="none" w:sz="0" w:space="0" w:color="000000"/>
            </w:tcBorders>
            <w:shd w:val="clear" w:color="auto" w:fill="FFFFFF"/>
            <w:tcMar>
              <w:top w:w="0" w:type="dxa"/>
              <w:bottom w:w="0" w:type="dxa"/>
              <w:left w:w="0" w:type="dxa"/>
              <w:right w:w="0" w:type="dxa"/>
            </w:tcMar>
            <w:vAlign w:val="center"/>
          </w:tcPr>
          <w:p>
            <w:pPr>
              <w:pStyle w:val="Normal"/>
              <w:jc w:val="right"/>
              <w:pBdr>
                <w:bottom w:val="none" w:sz="0" w:space="0" w:color="000000"/>
                <w:top w:val="none" w:sz="0" w:space="0" w:color="000000"/>
                <w:left w:val="none" w:sz="0" w:space="0" w:color="000000"/>
                <w:right w:val="none" w:sz="0" w:space="0" w:color="000000"/>
              </w:pBdr>
              <w:spacing w:after="100" w:before="100" w:line="240"/>
              <w:ind w:left="100" w:right="100" w:firstLine="0" w:firstLineChars="0"/>
            </w:pPr>
            <w:r xmlns:w="http://schemas.openxmlformats.org/wordprocessingml/2006/main" xmlns:wp="http://schemas.openxmlformats.org/drawingml/2006/wordprocessingDrawing" xmlns:r="http://schemas.openxmlformats.org/officeDocument/2006/relationships" xmlns:w14="http://schemas.microsoft.com/office/word/2010/wordml">
              <w:rPr>
                <w:rFonts w:ascii="Times New Roman" w:hAnsi="Helvetica" w:eastAsia="Helvetica" w:cs="Helvetica"/>
                <w:i w:val="false"/>
                <w:b w:val="false"/>
                <w:u w:val="none"/>
                <w:sz w:val="22"/>
                <w:szCs w:val="22"/>
                <w:color w:val="000000"/>
              </w:rPr>
              <w:t xml:space="preserve">18,145,320</w:t>
            </w:r>
          </w:p>
        </w:tc>
      </w:tr>
    </w:tbl>
    <w:p>
      <w:r>
        <w:br w:type="page"/>
      </w:r>
    </w:p>
    <w:bookmarkEnd w:id="168"/>
    <w:bookmarkStart w:id="181" w:name="figures"/>
    <w:p>
      <w:pPr>
        <w:pStyle w:val="Heading1"/>
      </w:pPr>
      <w:r>
        <w:t xml:space="preserve">Figures</w:t>
      </w:r>
    </w:p>
    <w:p>
      <w:pPr>
        <w:pStyle w:val="CaptionedFigure"/>
      </w:pPr>
      <w:r>
        <w:drawing>
          <wp:inline>
            <wp:extent cx="5943600" cy="4754880"/>
            <wp:effectExtent b="0" l="0" r="0" t="0"/>
            <wp:docPr descr="Figure 1: Individual characteristics over time for immigrants in different- and same-sex couples and non-immigrants in same-sex couples, based on American Community Survey data for 2008-2019 and 2021-2023. Estimates incorporate sampling weights." title="" id="170" name="Picture"/>
            <a:graphic>
              <a:graphicData uri="http://schemas.openxmlformats.org/drawingml/2006/picture">
                <pic:pic>
                  <pic:nvPicPr>
                    <pic:cNvPr descr="ssimm_geo_files/figure-docx/desc-ind-figures-1.png" id="171" name="Picture"/>
                    <pic:cNvPicPr>
                      <a:picLocks noChangeArrowheads="1" noChangeAspect="1"/>
                    </pic:cNvPicPr>
                  </pic:nvPicPr>
                  <pic:blipFill>
                    <a:blip r:embed="rId169"/>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72" w:name="fig:desc-ind-figures"/>
      <w:bookmarkEnd w:id="172"/>
      <w:r>
        <w:t xml:space="preserve">Figure 1: Individual characteristics over time for immigrants in different- and same-sex couples and non-immigrants in same-sex couples, based on American Community Survey data for 2008-2019 and 2021-2023. Estimates incorporate sampling weights.</w:t>
      </w:r>
    </w:p>
    <w:p>
      <w:r>
        <w:br w:type="page"/>
      </w:r>
    </w:p>
    <w:p>
      <w:pPr>
        <w:pStyle w:val="CaptionedFigure"/>
      </w:pPr>
      <w:r>
        <w:drawing>
          <wp:inline>
            <wp:extent cx="5943600" cy="4754880"/>
            <wp:effectExtent b="0" l="0" r="0" t="0"/>
            <wp:docPr descr="Figure 2: Percentage of cohabiting immigrants in same-sex couples in U.S. states, averaging over ACS survey years 2008-2019 and 2021-2023." title="" id="174" name="Picture"/>
            <a:graphic>
              <a:graphicData uri="http://schemas.openxmlformats.org/drawingml/2006/picture">
                <pic:pic>
                  <pic:nvPicPr>
                    <pic:cNvPr descr="ssimm_geo_files/figure-docx/state-map-1.png" id="175" name="Picture"/>
                    <pic:cNvPicPr>
                      <a:picLocks noChangeArrowheads="1" noChangeAspect="1"/>
                    </pic:cNvPicPr>
                  </pic:nvPicPr>
                  <pic:blipFill>
                    <a:blip r:embed="rId173"/>
                    <a:stretch>
                      <a:fillRect/>
                    </a:stretch>
                  </pic:blipFill>
                  <pic:spPr bwMode="auto">
                    <a:xfrm>
                      <a:off x="0" y="0"/>
                      <a:ext cx="5943600" cy="4754880"/>
                    </a:xfrm>
                    <a:prstGeom prst="rect">
                      <a:avLst/>
                    </a:prstGeom>
                    <a:noFill/>
                    <a:ln w="9525">
                      <a:noFill/>
                      <a:headEnd/>
                      <a:tailEnd/>
                    </a:ln>
                  </pic:spPr>
                </pic:pic>
              </a:graphicData>
            </a:graphic>
          </wp:inline>
        </w:drawing>
      </w:r>
    </w:p>
    <w:p>
      <w:pPr>
        <w:pStyle w:val="ImageCaption"/>
      </w:pPr>
      <w:bookmarkStart w:id="176" w:name="fig:state-map"/>
      <w:bookmarkEnd w:id="176"/>
      <w:r>
        <w:t xml:space="preserve">Figure 2: Percentage of cohabiting immigrants in same-sex couples in U.S. states, averaging over ACS survey years 2008-2019 and 2021-2023.</w:t>
      </w:r>
    </w:p>
    <w:p>
      <w:r>
        <w:br w:type="page"/>
      </w:r>
    </w:p>
    <w:p>
      <w:pPr>
        <w:pStyle w:val="CaptionedFigure"/>
      </w:pPr>
      <w:r>
        <w:drawing>
          <wp:inline>
            <wp:extent cx="5943600" cy="7726680"/>
            <wp:effectExtent b="0" l="0" r="0" t="0"/>
            <wp:docPr descr="Figure 3: Geographic characteristics over time for immigrants in different- and same-sex couples and non-immigrants in same-sex couples, based on American Community Survey data for 2008-2019 and 2021-2023. Estimates incorporate sampling weights." title="" id="178" name="Picture"/>
            <a:graphic>
              <a:graphicData uri="http://schemas.openxmlformats.org/drawingml/2006/picture">
                <pic:pic>
                  <pic:nvPicPr>
                    <pic:cNvPr descr="ssimm_geo_files/figure-docx/desc-geo-figures-1.png" id="179" name="Picture"/>
                    <pic:cNvPicPr>
                      <a:picLocks noChangeArrowheads="1" noChangeAspect="1"/>
                    </pic:cNvPicPr>
                  </pic:nvPicPr>
                  <pic:blipFill>
                    <a:blip r:embed="rId177"/>
                    <a:stretch>
                      <a:fillRect/>
                    </a:stretch>
                  </pic:blipFill>
                  <pic:spPr bwMode="auto">
                    <a:xfrm>
                      <a:off x="0" y="0"/>
                      <a:ext cx="5943600" cy="7726680"/>
                    </a:xfrm>
                    <a:prstGeom prst="rect">
                      <a:avLst/>
                    </a:prstGeom>
                    <a:noFill/>
                    <a:ln w="9525">
                      <a:noFill/>
                      <a:headEnd/>
                      <a:tailEnd/>
                    </a:ln>
                  </pic:spPr>
                </pic:pic>
              </a:graphicData>
            </a:graphic>
          </wp:inline>
        </w:drawing>
      </w:r>
    </w:p>
    <w:p>
      <w:pPr>
        <w:pStyle w:val="ImageCaption"/>
      </w:pPr>
      <w:bookmarkStart w:id="180" w:name="fig:desc-geo-figures"/>
      <w:bookmarkEnd w:id="180"/>
      <w:r>
        <w:t xml:space="preserve">Figure 3: Geographic characteristics over time for immigrants in different- and same-sex couples and non-immigrants in same-sex couples, based on American Community Survey data for 2008-2019 and 2021-2023. Estimates incorporate sampling weights.</w:t>
      </w:r>
    </w:p>
    <w:bookmarkEnd w:id="181"/>
    <w:sectPr w:rsidR="00BE500F">
      <w:footerReference r:id="rId9" w:type="even"/>
      <w:footerReference r:id="rId10" w:type="default"/>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9306508"/>
      <w:docPartObj>
        <w:docPartGallery w:val="Page Numbers (Bottom of Page)"/>
        <w:docPartUnique/>
      </w:docPartObj>
    </w:sdtPr>
    <w:sdtContent>
      <w:p w14:paraId="7CF842E0"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B2A837C" w14:textId="77777777" w:rsidR="005E021F"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34804782"/>
      <w:docPartObj>
        <w:docPartGallery w:val="Page Numbers (Bottom of Page)"/>
        <w:docPartUnique/>
      </w:docPartObj>
    </w:sdtPr>
    <w:sdtContent>
      <w:p w14:paraId="55029BC1" w14:textId="77777777" w:rsidR="005E021F" w:rsidRDefault="00000000" w:rsidP="009017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01E297B" w14:textId="77777777" w:rsidR="005E021F" w:rsidRDefault="0000000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5">
    <w:p>
      <w:pPr>
        <w:pStyle w:val="FootnoteText"/>
      </w:pPr>
      <w:r>
        <w:rPr>
          <w:rStyle w:val="FootnoteReference"/>
        </w:rPr>
        <w:footnoteRef/>
      </w:r>
      <w:r>
        <w:t xml:space="preserve"> </w:t>
      </w:r>
      <w:r>
        <w:t xml:space="preserve">We are constrained in reporting sex and gender by the questions asked in the ACS, which include only a binary option for sex and no question about gender.</w:t>
      </w:r>
    </w:p>
  </w:footnote>
  <w:footnote w:id="26">
    <w:p>
      <w:pPr>
        <w:pStyle w:val="FootnoteText"/>
      </w:pPr>
      <w:r>
        <w:rPr>
          <w:rStyle w:val="FootnoteReference"/>
        </w:rPr>
        <w:footnoteRef/>
      </w:r>
      <w:r>
        <w:t xml:space="preserve"> </w:t>
      </w:r>
      <w:r>
        <w:t xml:space="preserve">The VALUEH home value variable is top-coded at $1,000,000.</w:t>
      </w:r>
    </w:p>
  </w:footnote>
  <w:footnote w:id="27">
    <w:p>
      <w:pPr>
        <w:pStyle w:val="FootnoteText"/>
      </w:pPr>
      <w:r>
        <w:rPr>
          <w:rStyle w:val="FootnoteReference"/>
        </w:rPr>
        <w:footnoteRef/>
      </w:r>
      <w:r>
        <w:t xml:space="preserve"> </w:t>
      </w:r>
      <w:hyperlink r:id="rId28">
        <w:r>
          <w:rPr>
            <w:rStyle w:val="Hyperlink"/>
          </w:rPr>
          <w:t xml:space="preserve">https://www.lgbtmap.org/</w:t>
        </w:r>
      </w:hyperlink>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oel="http://schemas.microsoft.com/office/2019/extlst"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FFFFFF7C"/>
    <w:multiLevelType w:val="singleLevel"/>
    <w:tmpl w:val="9B86FFC0"/>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071E45DE"/>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B006850E"/>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D7C892AE"/>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B63234D6"/>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67547270"/>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BA34D714"/>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D562B5A8"/>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ACA85EB4"/>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97609B4"/>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0000A990"/>
    <w:multiLevelType w:val="multilevel"/>
    <w:tmpl w:val="8272B6C0"/>
    <w:lvl w:ilvl="0">
      <w:numFmt w:val="bullet"/>
      <w:lvlText w:val=" "/>
      <w:lvlJc w:val="left"/>
      <w:pPr>
        <w:ind w:hanging="480" w:left="720"/>
      </w:pPr>
    </w:lvl>
    <w:lvl w:ilvl="1">
      <w:numFmt w:val="bullet"/>
      <w:lvlText w:val=" "/>
      <w:lvlJc w:val="left"/>
      <w:pPr>
        <w:ind w:hanging="480" w:left="1440"/>
      </w:pPr>
    </w:lvl>
    <w:lvl w:ilvl="2">
      <w:numFmt w:val="bullet"/>
      <w:lvlText w:val=" "/>
      <w:lvlJc w:val="left"/>
      <w:pPr>
        <w:ind w:hanging="480" w:left="2160"/>
      </w:pPr>
    </w:lvl>
    <w:lvl w:ilvl="3">
      <w:numFmt w:val="bullet"/>
      <w:lvlText w:val=" "/>
      <w:lvlJc w:val="left"/>
      <w:pPr>
        <w:ind w:hanging="480" w:left="2880"/>
      </w:pPr>
    </w:lvl>
    <w:lvl w:ilvl="4">
      <w:numFmt w:val="bullet"/>
      <w:lvlText w:val=" "/>
      <w:lvlJc w:val="left"/>
      <w:pPr>
        <w:ind w:hanging="480" w:left="3600"/>
      </w:pPr>
    </w:lvl>
    <w:lvl w:ilvl="5">
      <w:numFmt w:val="bullet"/>
      <w:lvlText w:val=" "/>
      <w:lvlJc w:val="left"/>
      <w:pPr>
        <w:ind w:hanging="480" w:left="4320"/>
      </w:pPr>
    </w:lvl>
    <w:lvl w:ilvl="6">
      <w:numFmt w:val="bullet"/>
      <w:lvlText w:val=" "/>
      <w:lvlJc w:val="left"/>
      <w:pPr>
        <w:ind w:hanging="480" w:left="5040"/>
      </w:pPr>
    </w:lvl>
    <w:lvl w:ilvl="7">
      <w:numFmt w:val="bullet"/>
      <w:lvlText w:val=" "/>
      <w:lvlJc w:val="left"/>
      <w:pPr>
        <w:ind w:hanging="480" w:left="5760"/>
      </w:pPr>
    </w:lvl>
    <w:lvl w:ilvl="8">
      <w:numFmt w:val="bullet"/>
      <w:lvlText w:val=" "/>
      <w:lvlJc w:val="left"/>
      <w:pPr>
        <w:ind w:hanging="480" w:left="6480"/>
      </w:pPr>
    </w:lvl>
  </w:abstractNum>
  <w:abstractNum w15:restartNumberingAfterBreak="0" w:abstractNumId="11">
    <w:nsid w:val="00A99411"/>
    <w:multiLevelType w:val="multilevel"/>
    <w:tmpl w:val="9B50D94C"/>
    <w:lvl w:ilvl="0">
      <w:start w:val="1"/>
      <w:numFmt w:val="decimal"/>
      <w:lvlText w:val="%1."/>
      <w:lvlJc w:val="left"/>
      <w:pPr>
        <w:ind w:hanging="480" w:left="720"/>
      </w:pPr>
    </w:lvl>
    <w:lvl w:ilvl="1">
      <w:start w:val="1"/>
      <w:numFmt w:val="decimal"/>
      <w:lvlText w:val="%2."/>
      <w:lvlJc w:val="left"/>
      <w:pPr>
        <w:ind w:hanging="480" w:left="1440"/>
      </w:pPr>
    </w:lvl>
    <w:lvl w:ilvl="2">
      <w:start w:val="1"/>
      <w:numFmt w:val="decimal"/>
      <w:lvlText w:val="%3."/>
      <w:lvlJc w:val="left"/>
      <w:pPr>
        <w:ind w:hanging="480" w:left="2160"/>
      </w:pPr>
    </w:lvl>
    <w:lvl w:ilvl="3">
      <w:start w:val="1"/>
      <w:numFmt w:val="decimal"/>
      <w:lvlText w:val="%4."/>
      <w:lvlJc w:val="left"/>
      <w:pPr>
        <w:ind w:hanging="480" w:left="2880"/>
      </w:pPr>
    </w:lvl>
    <w:lvl w:ilvl="4">
      <w:start w:val="1"/>
      <w:numFmt w:val="decimal"/>
      <w:lvlText w:val="%5."/>
      <w:lvlJc w:val="left"/>
      <w:pPr>
        <w:ind w:hanging="480" w:left="3600"/>
      </w:pPr>
    </w:lvl>
    <w:lvl w:ilvl="5">
      <w:start w:val="1"/>
      <w:numFmt w:val="decimal"/>
      <w:lvlText w:val="%6."/>
      <w:lvlJc w:val="left"/>
      <w:pPr>
        <w:ind w:hanging="480" w:left="4320"/>
      </w:pPr>
    </w:lvl>
    <w:lvl w:ilvl="6">
      <w:start w:val="1"/>
      <w:numFmt w:val="decimal"/>
      <w:lvlText w:val="%7."/>
      <w:lvlJc w:val="left"/>
      <w:pPr>
        <w:ind w:hanging="480" w:left="5040"/>
      </w:pPr>
    </w:lvl>
    <w:lvl w:ilvl="7">
      <w:start w:val="1"/>
      <w:numFmt w:val="decimal"/>
      <w:lvlText w:val="%8."/>
      <w:lvlJc w:val="left"/>
      <w:pPr>
        <w:ind w:hanging="480" w:left="5760"/>
      </w:pPr>
    </w:lvl>
    <w:lvl w:ilvl="8">
      <w:start w:val="1"/>
      <w:numFmt w:val="decimal"/>
      <w:lvlText w:val="%9."/>
      <w:lvlJc w:val="left"/>
      <w:pPr>
        <w:ind w:hanging="480" w:left="6480"/>
      </w:pPr>
    </w:lvl>
  </w:abstractNum>
  <w:abstractNum w15:restartNumberingAfterBreak="0" w:abstractNumId="12">
    <w:nsid w:val="2C1AE401"/>
    <w:multiLevelType w:val="multilevel"/>
    <w:tmpl w:val="A5FEA04C"/>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16cid:durableId="841505960" w:numId="1">
    <w:abstractNumId w:val="12"/>
  </w:num>
  <w:num w16cid:durableId="1485972185" w:numId="2">
    <w:abstractNumId w:val="0"/>
  </w:num>
  <w:num w16cid:durableId="552665710" w:numId="3">
    <w:abstractNumId w:val="1"/>
  </w:num>
  <w:num w16cid:durableId="395738878" w:numId="4">
    <w:abstractNumId w:val="2"/>
  </w:num>
  <w:num w16cid:durableId="163204710" w:numId="5">
    <w:abstractNumId w:val="3"/>
  </w:num>
  <w:num w16cid:durableId="1417897693" w:numId="6">
    <w:abstractNumId w:val="8"/>
  </w:num>
  <w:num w16cid:durableId="650718524" w:numId="7">
    <w:abstractNumId w:val="4"/>
  </w:num>
  <w:num w16cid:durableId="139395401" w:numId="8">
    <w:abstractNumId w:val="5"/>
  </w:num>
  <w:num w16cid:durableId="2103138686" w:numId="9">
    <w:abstractNumId w:val="6"/>
  </w:num>
  <w:num w16cid:durableId="1819028114" w:numId="10">
    <w:abstractNumId w:val="7"/>
  </w:num>
  <w:num w16cid:durableId="1476334516" w:numId="11">
    <w:abstractNumId w:val="9"/>
  </w:num>
  <w:num w16cid:durableId="259027731" w:numId="12">
    <w:abstractNumId w:val="12"/>
  </w:num>
  <w:num w16cid:durableId="2144537097" w:numId="13">
    <w:abstractNumId w:val="10"/>
  </w:num>
  <w:num w16cid:durableId="236670500" w:numId="1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oNotTrackMove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m:mathPr>
    <m:mathFont m:val="Cambria Math"/>
    <m:brkBin m:val="before"/>
    <m:brkBinSub m:val="--"/>
    <m:smallFrac m:val="0"/>
    <m:dispDef m:val="0"/>
    <m:lMargin m:val="0"/>
    <m:rMargin m:val="0"/>
    <m:defJc m:val="centerGroup"/>
    <m:wrapRight/>
    <m:intLim m:val="subSup"/>
    <m:naryLim m:val="subSup"/>
  </m:mathPr>
  <w:themeFontLang w:bidi="ar-SA"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F55EE0"/>
    <w:rPr>
      <w:rFonts w:asciiTheme="majorBidi" w:hAnsiTheme="majorBidi"/>
    </w:rPr>
  </w:style>
  <w:style w:styleId="Heading1" w:type="paragraph">
    <w:name w:val="heading 1"/>
    <w:basedOn w:val="Normal"/>
    <w:next w:val="BodyText"/>
    <w:uiPriority w:val="9"/>
    <w:qFormat/>
    <w:rsid w:val="001656A8"/>
    <w:pPr>
      <w:keepNext/>
      <w:keepLines/>
      <w:spacing w:after="0" w:before="480"/>
      <w:outlineLvl w:val="0"/>
    </w:pPr>
    <w:rPr>
      <w:rFonts w:cstheme="majorBidi" w:eastAsiaTheme="majorEastAsia"/>
      <w:b/>
      <w:bCs/>
      <w:sz w:val="32"/>
      <w:szCs w:val="32"/>
    </w:rPr>
  </w:style>
  <w:style w:styleId="Heading2" w:type="paragraph">
    <w:name w:val="heading 2"/>
    <w:basedOn w:val="Normal"/>
    <w:next w:val="BodyText"/>
    <w:uiPriority w:val="9"/>
    <w:unhideWhenUsed/>
    <w:qFormat/>
    <w:rsid w:val="001656A8"/>
    <w:pPr>
      <w:keepNext/>
      <w:keepLines/>
      <w:spacing w:after="0" w:before="200"/>
      <w:outlineLvl w:val="1"/>
    </w:pPr>
    <w:rPr>
      <w:rFonts w:cstheme="majorBidi" w:eastAsiaTheme="majorEastAsia"/>
      <w:b/>
      <w:bCs/>
      <w:sz w:val="28"/>
      <w:szCs w:val="28"/>
    </w:rPr>
  </w:style>
  <w:style w:styleId="Heading3" w:type="paragraph">
    <w:name w:val="heading 3"/>
    <w:basedOn w:val="Normal"/>
    <w:next w:val="BodyText"/>
    <w:uiPriority w:val="9"/>
    <w:unhideWhenUsed/>
    <w:qFormat/>
    <w:rsid w:val="001656A8"/>
    <w:pPr>
      <w:keepNext/>
      <w:keepLines/>
      <w:spacing w:after="0" w:before="200"/>
      <w:outlineLvl w:val="2"/>
    </w:pPr>
    <w:rPr>
      <w:rFonts w:cstheme="majorBidi" w:eastAsiaTheme="majorEastAsia"/>
      <w:b/>
      <w:bCs/>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B27D2F"/>
    <w:pPr>
      <w:spacing w:after="0" w:line="480" w:lineRule="auto"/>
      <w:ind w:firstLine="720"/>
      <w:jc w:val="both"/>
    </w:pPr>
  </w:style>
  <w:style w:customStyle="1" w:styleId="FirstParagraph" w:type="paragraph">
    <w:name w:val="First Paragraph"/>
    <w:basedOn w:val="BodyText"/>
    <w:next w:val="BodyText"/>
    <w:qFormat/>
    <w:rsid w:val="001656A8"/>
    <w:pPr>
      <w:spacing w:before="180"/>
      <w:ind w:firstLine="0"/>
    </w:pPr>
  </w:style>
  <w:style w:customStyle="1" w:styleId="Compact" w:type="paragraph">
    <w:name w:val="Compact"/>
    <w:basedOn w:val="BodyText"/>
    <w:qFormat/>
    <w:pPr>
      <w:spacing w:after="36" w:before="36"/>
    </w:pPr>
  </w:style>
  <w:style w:styleId="Title" w:type="paragraph">
    <w:name w:val="Title"/>
    <w:basedOn w:val="Normal"/>
    <w:next w:val="BodyText"/>
    <w:qFormat/>
    <w:rsid w:val="0083790B"/>
    <w:pPr>
      <w:keepNext/>
      <w:keepLines/>
      <w:spacing w:after="240" w:before="480" w:line="480" w:lineRule="auto"/>
      <w:jc w:val="center"/>
    </w:pPr>
    <w:rPr>
      <w:rFonts w:cstheme="majorBidi" w:eastAsiaTheme="majorEastAsia"/>
      <w:b/>
      <w:bCs/>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qFormat/>
    <w:rsid w:val="003F1D0B"/>
    <w:pPr>
      <w:spacing w:after="0" w:line="480" w:lineRule="auto"/>
      <w:ind w:hanging="720" w:left="720"/>
    </w:p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uiPriority w:val="9"/>
    <w:unhideWhenUsed/>
    <w:qFormat/>
    <w:rsid w:val="003F1D0B"/>
  </w:style>
  <w:style w:customStyle="1" w:styleId="Table" w:type="table">
    <w:name w:val="Table"/>
    <w:semiHidden/>
    <w:unhideWhenUsed/>
    <w:qFormat/>
    <w:rsid w:val="003E40C1"/>
    <w:pPr>
      <w:spacing w:after="0"/>
    </w:pPr>
    <w:rPr>
      <w:rFonts w:asciiTheme="majorBidi" w:hAnsiTheme="majorBidi"/>
      <w:sz w:val="22"/>
    </w:rPr>
    <w:tblPr>
      <w:tblInd w:type="dxa" w:w="0"/>
      <w:tblCellMar>
        <w:top w:type="dxa" w:w="0"/>
        <w:left w:type="dxa" w:w="108"/>
        <w:bottom w:type="dxa" w:w="0"/>
        <w:right w:type="dxa" w:w="108"/>
      </w:tblCellMar>
    </w:tbl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3F1D0B"/>
    <w:pPr>
      <w:keepNext/>
    </w:pPr>
  </w:style>
  <w:style w:customStyle="1" w:styleId="ImageCaption" w:type="paragraph">
    <w:name w:val="Image Caption"/>
    <w:basedOn w:val="Caption"/>
    <w:rsid w:val="003F1D0B"/>
    <w:rPr>
      <w:rFonts w:ascii="Times New Roman" w:hAnsi="Times New Roman"/>
    </w:rPr>
  </w:style>
  <w:style w:customStyle="1" w:styleId="Figure" w:type="paragraph">
    <w:name w:val="Figure"/>
    <w:basedOn w:val="Normal"/>
  </w:style>
  <w:style w:customStyle="1" w:styleId="CaptionedFigure" w:type="paragraph">
    <w:name w:val="Captioned Figure"/>
    <w:basedOn w:val="Figure"/>
    <w:rsid w:val="003F1D0B"/>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sid w:val="003F1D0B"/>
    <w:rPr>
      <w:rFonts w:asciiTheme="majorBidi" w:hAnsiTheme="majorBidi"/>
      <w:shd w:color="auto" w:fill="F8F8F8" w:val="clear"/>
    </w:rPr>
  </w:style>
  <w:style w:customStyle="1" w:styleId="SectionNumber" w:type="character">
    <w:name w:val="Section Number"/>
    <w:basedOn w:val="CaptionChar"/>
  </w:style>
  <w:style w:styleId="FootnoteReference" w:type="character">
    <w:name w:val="footnote reference"/>
    <w:basedOn w:val="CaptionChar"/>
    <w:rsid w:val="003F1D0B"/>
    <w:rPr>
      <w:rFonts w:asciiTheme="majorBidi" w:hAnsiTheme="majorBidi"/>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hAnsiTheme="majorHAnsi"/>
      <w:b w:val="0"/>
      <w:bCs w:val="0"/>
      <w:color w:themeColor="accent1" w:themeShade="BF" w:val="365F91"/>
    </w:rPr>
  </w:style>
  <w:style w:customStyle="1" w:styleId="SourceCode" w:type="paragraph">
    <w:name w:val="Source Code"/>
    <w:basedOn w:val="Normal"/>
    <w:link w:val="VerbatimChar"/>
    <w:rsid w:val="003F1D0B"/>
    <w:pPr>
      <w:shd w:color="auto" w:fill="F8F8F8" w:val="clear"/>
      <w:wordWrap w:val="0"/>
    </w:pPr>
  </w:style>
  <w:style w:customStyle="1" w:styleId="KeywordTok" w:type="character">
    <w:name w:val="KeywordTok"/>
    <w:basedOn w:val="VerbatimChar"/>
    <w:rPr>
      <w:rFonts w:asciiTheme="majorBidi" w:hAnsiTheme="majorBidi"/>
      <w:b/>
      <w:color w:val="204A87"/>
      <w:shd w:color="auto" w:fill="F8F8F8" w:val="clear"/>
    </w:rPr>
  </w:style>
  <w:style w:customStyle="1" w:styleId="DataTypeTok" w:type="character">
    <w:name w:val="DataTypeTok"/>
    <w:basedOn w:val="VerbatimChar"/>
    <w:rPr>
      <w:rFonts w:asciiTheme="majorBidi" w:hAnsiTheme="majorBidi"/>
      <w:color w:val="204A87"/>
      <w:shd w:color="auto" w:fill="F8F8F8" w:val="clear"/>
    </w:rPr>
  </w:style>
  <w:style w:customStyle="1" w:styleId="DecValTok" w:type="character">
    <w:name w:val="DecValTok"/>
    <w:basedOn w:val="VerbatimChar"/>
    <w:rPr>
      <w:rFonts w:asciiTheme="majorBidi" w:hAnsiTheme="majorBidi"/>
      <w:color w:val="0000CF"/>
      <w:shd w:color="auto" w:fill="F8F8F8" w:val="clear"/>
    </w:rPr>
  </w:style>
  <w:style w:customStyle="1" w:styleId="BaseNTok" w:type="character">
    <w:name w:val="BaseNTok"/>
    <w:basedOn w:val="VerbatimChar"/>
    <w:rPr>
      <w:rFonts w:asciiTheme="majorBidi" w:hAnsiTheme="majorBidi"/>
      <w:color w:val="0000CF"/>
      <w:shd w:color="auto" w:fill="F8F8F8" w:val="clear"/>
    </w:rPr>
  </w:style>
  <w:style w:customStyle="1" w:styleId="FloatTok" w:type="character">
    <w:name w:val="FloatTok"/>
    <w:basedOn w:val="VerbatimChar"/>
    <w:rPr>
      <w:rFonts w:asciiTheme="majorBidi" w:hAnsiTheme="majorBidi"/>
      <w:color w:val="0000CF"/>
      <w:shd w:color="auto" w:fill="F8F8F8" w:val="clear"/>
    </w:rPr>
  </w:style>
  <w:style w:customStyle="1" w:styleId="ConstantTok" w:type="character">
    <w:name w:val="ConstantTok"/>
    <w:basedOn w:val="VerbatimChar"/>
    <w:rPr>
      <w:rFonts w:asciiTheme="majorBidi" w:hAnsiTheme="majorBidi"/>
      <w:color w:val="000000"/>
      <w:shd w:color="auto" w:fill="F8F8F8" w:val="clear"/>
    </w:rPr>
  </w:style>
  <w:style w:customStyle="1" w:styleId="CharTok" w:type="character">
    <w:name w:val="CharTok"/>
    <w:basedOn w:val="VerbatimChar"/>
    <w:rPr>
      <w:rFonts w:asciiTheme="majorBidi" w:hAnsiTheme="majorBidi"/>
      <w:color w:val="4E9A06"/>
      <w:shd w:color="auto" w:fill="F8F8F8" w:val="clear"/>
    </w:rPr>
  </w:style>
  <w:style w:customStyle="1" w:styleId="SpecialCharTok" w:type="character">
    <w:name w:val="SpecialCharTok"/>
    <w:basedOn w:val="VerbatimChar"/>
    <w:rPr>
      <w:rFonts w:asciiTheme="majorBidi" w:hAnsiTheme="majorBidi"/>
      <w:color w:val="000000"/>
      <w:shd w:color="auto" w:fill="F8F8F8" w:val="clear"/>
    </w:rPr>
  </w:style>
  <w:style w:customStyle="1" w:styleId="StringTok" w:type="character">
    <w:name w:val="StringTok"/>
    <w:basedOn w:val="VerbatimChar"/>
    <w:rPr>
      <w:rFonts w:asciiTheme="majorBidi" w:hAnsiTheme="majorBidi"/>
      <w:color w:val="4E9A06"/>
      <w:shd w:color="auto" w:fill="F8F8F8" w:val="clear"/>
    </w:rPr>
  </w:style>
  <w:style w:customStyle="1" w:styleId="VerbatimStringTok" w:type="character">
    <w:name w:val="VerbatimStringTok"/>
    <w:basedOn w:val="VerbatimChar"/>
    <w:rPr>
      <w:rFonts w:asciiTheme="majorBidi" w:hAnsiTheme="majorBidi"/>
      <w:color w:val="4E9A06"/>
      <w:shd w:color="auto" w:fill="F8F8F8" w:val="clear"/>
    </w:rPr>
  </w:style>
  <w:style w:customStyle="1" w:styleId="SpecialStringTok" w:type="character">
    <w:name w:val="SpecialStringTok"/>
    <w:basedOn w:val="VerbatimChar"/>
    <w:rPr>
      <w:rFonts w:asciiTheme="majorBidi" w:hAnsiTheme="majorBidi"/>
      <w:color w:val="4E9A06"/>
      <w:shd w:color="auto" w:fill="F8F8F8" w:val="clear"/>
    </w:rPr>
  </w:style>
  <w:style w:customStyle="1" w:styleId="ImportTok" w:type="character">
    <w:name w:val="ImportTok"/>
    <w:basedOn w:val="VerbatimChar"/>
    <w:rPr>
      <w:rFonts w:asciiTheme="majorBidi" w:hAnsiTheme="majorBidi"/>
      <w:shd w:color="auto" w:fill="F8F8F8" w:val="clear"/>
    </w:rPr>
  </w:style>
  <w:style w:customStyle="1" w:styleId="CommentTok" w:type="character">
    <w:name w:val="CommentTok"/>
    <w:basedOn w:val="VerbatimChar"/>
    <w:rPr>
      <w:rFonts w:asciiTheme="majorBidi" w:hAnsiTheme="majorBidi"/>
      <w:i/>
      <w:color w:val="8F5902"/>
      <w:shd w:color="auto" w:fill="F8F8F8" w:val="clear"/>
    </w:rPr>
  </w:style>
  <w:style w:customStyle="1" w:styleId="DocumentationTok" w:type="character">
    <w:name w:val="DocumentationTok"/>
    <w:basedOn w:val="VerbatimChar"/>
    <w:rPr>
      <w:rFonts w:asciiTheme="majorBidi" w:hAnsiTheme="majorBidi"/>
      <w:b/>
      <w:i/>
      <w:color w:val="8F5902"/>
      <w:shd w:color="auto" w:fill="F8F8F8" w:val="clear"/>
    </w:rPr>
  </w:style>
  <w:style w:customStyle="1" w:styleId="AnnotationTok" w:type="character">
    <w:name w:val="AnnotationTok"/>
    <w:basedOn w:val="VerbatimChar"/>
    <w:rPr>
      <w:rFonts w:asciiTheme="majorBidi" w:hAnsiTheme="majorBidi"/>
      <w:b/>
      <w:i/>
      <w:color w:val="8F5902"/>
      <w:shd w:color="auto" w:fill="F8F8F8" w:val="clear"/>
    </w:rPr>
  </w:style>
  <w:style w:customStyle="1" w:styleId="CommentVarTok" w:type="character">
    <w:name w:val="CommentVarTok"/>
    <w:basedOn w:val="VerbatimChar"/>
    <w:rPr>
      <w:rFonts w:asciiTheme="majorBidi" w:hAnsiTheme="majorBidi"/>
      <w:b/>
      <w:i/>
      <w:color w:val="8F5902"/>
      <w:shd w:color="auto" w:fill="F8F8F8" w:val="clear"/>
    </w:rPr>
  </w:style>
  <w:style w:customStyle="1" w:styleId="OtherTok" w:type="character">
    <w:name w:val="OtherTok"/>
    <w:basedOn w:val="VerbatimChar"/>
    <w:rPr>
      <w:rFonts w:asciiTheme="majorBidi" w:hAnsiTheme="majorBidi"/>
      <w:color w:val="8F5902"/>
      <w:shd w:color="auto" w:fill="F8F8F8" w:val="clear"/>
    </w:rPr>
  </w:style>
  <w:style w:customStyle="1" w:styleId="FunctionTok" w:type="character">
    <w:name w:val="FunctionTok"/>
    <w:basedOn w:val="VerbatimChar"/>
    <w:rPr>
      <w:rFonts w:asciiTheme="majorBidi" w:hAnsiTheme="majorBidi"/>
      <w:color w:val="000000"/>
      <w:shd w:color="auto" w:fill="F8F8F8" w:val="clear"/>
    </w:rPr>
  </w:style>
  <w:style w:customStyle="1" w:styleId="VariableTok" w:type="character">
    <w:name w:val="VariableTok"/>
    <w:basedOn w:val="VerbatimChar"/>
    <w:rPr>
      <w:rFonts w:asciiTheme="majorBidi" w:hAnsiTheme="majorBidi"/>
      <w:color w:val="000000"/>
      <w:shd w:color="auto" w:fill="F8F8F8" w:val="clear"/>
    </w:rPr>
  </w:style>
  <w:style w:customStyle="1" w:styleId="ControlFlowTok" w:type="character">
    <w:name w:val="ControlFlowTok"/>
    <w:basedOn w:val="VerbatimChar"/>
    <w:rPr>
      <w:rFonts w:asciiTheme="majorBidi" w:hAnsiTheme="majorBidi"/>
      <w:b/>
      <w:color w:val="204A87"/>
      <w:shd w:color="auto" w:fill="F8F8F8" w:val="clear"/>
    </w:rPr>
  </w:style>
  <w:style w:customStyle="1" w:styleId="OperatorTok" w:type="character">
    <w:name w:val="OperatorTok"/>
    <w:basedOn w:val="VerbatimChar"/>
    <w:rPr>
      <w:rFonts w:asciiTheme="majorBidi" w:hAnsiTheme="majorBidi"/>
      <w:b/>
      <w:color w:val="CE5C00"/>
      <w:shd w:color="auto" w:fill="F8F8F8" w:val="clear"/>
    </w:rPr>
  </w:style>
  <w:style w:customStyle="1" w:styleId="BuiltInTok" w:type="character">
    <w:name w:val="BuiltInTok"/>
    <w:basedOn w:val="VerbatimChar"/>
    <w:rPr>
      <w:rFonts w:asciiTheme="majorBidi" w:hAnsiTheme="majorBidi"/>
      <w:shd w:color="auto" w:fill="F8F8F8" w:val="clear"/>
    </w:rPr>
  </w:style>
  <w:style w:customStyle="1" w:styleId="ExtensionTok" w:type="character">
    <w:name w:val="ExtensionTok"/>
    <w:basedOn w:val="VerbatimChar"/>
    <w:rPr>
      <w:rFonts w:asciiTheme="majorBidi" w:hAnsiTheme="majorBidi"/>
      <w:shd w:color="auto" w:fill="F8F8F8" w:val="clear"/>
    </w:rPr>
  </w:style>
  <w:style w:customStyle="1" w:styleId="PreprocessorTok" w:type="character">
    <w:name w:val="PreprocessorTok"/>
    <w:basedOn w:val="VerbatimChar"/>
    <w:rPr>
      <w:rFonts w:asciiTheme="majorBidi" w:hAnsiTheme="majorBidi"/>
      <w:i/>
      <w:color w:val="8F5902"/>
      <w:shd w:color="auto" w:fill="F8F8F8" w:val="clear"/>
    </w:rPr>
  </w:style>
  <w:style w:customStyle="1" w:styleId="AttributeTok" w:type="character">
    <w:name w:val="AttributeTok"/>
    <w:basedOn w:val="VerbatimChar"/>
    <w:rPr>
      <w:rFonts w:asciiTheme="majorBidi" w:hAnsiTheme="majorBidi"/>
      <w:color w:val="C4A000"/>
      <w:shd w:color="auto" w:fill="F8F8F8" w:val="clear"/>
    </w:rPr>
  </w:style>
  <w:style w:customStyle="1" w:styleId="RegionMarkerTok" w:type="character">
    <w:name w:val="RegionMarkerTok"/>
    <w:basedOn w:val="VerbatimChar"/>
    <w:rPr>
      <w:rFonts w:asciiTheme="majorBidi" w:hAnsiTheme="majorBidi"/>
      <w:shd w:color="auto" w:fill="F8F8F8" w:val="clear"/>
    </w:rPr>
  </w:style>
  <w:style w:customStyle="1" w:styleId="InformationTok" w:type="character">
    <w:name w:val="InformationTok"/>
    <w:basedOn w:val="VerbatimChar"/>
    <w:rPr>
      <w:rFonts w:asciiTheme="majorBidi" w:hAnsiTheme="majorBidi"/>
      <w:b/>
      <w:i/>
      <w:color w:val="8F5902"/>
      <w:shd w:color="auto" w:fill="F8F8F8" w:val="clear"/>
    </w:rPr>
  </w:style>
  <w:style w:customStyle="1" w:styleId="WarningTok" w:type="character">
    <w:name w:val="WarningTok"/>
    <w:basedOn w:val="VerbatimChar"/>
    <w:rPr>
      <w:rFonts w:asciiTheme="majorBidi" w:hAnsiTheme="majorBidi"/>
      <w:b/>
      <w:i/>
      <w:color w:val="8F5902"/>
      <w:shd w:color="auto" w:fill="F8F8F8" w:val="clear"/>
    </w:rPr>
  </w:style>
  <w:style w:customStyle="1" w:styleId="AlertTok" w:type="character">
    <w:name w:val="AlertTok"/>
    <w:basedOn w:val="VerbatimChar"/>
    <w:rPr>
      <w:rFonts w:asciiTheme="majorBidi" w:hAnsiTheme="majorBidi"/>
      <w:color w:val="EF2929"/>
      <w:shd w:color="auto" w:fill="F8F8F8" w:val="clear"/>
    </w:rPr>
  </w:style>
  <w:style w:customStyle="1" w:styleId="ErrorTok" w:type="character">
    <w:name w:val="ErrorTok"/>
    <w:basedOn w:val="VerbatimChar"/>
    <w:rPr>
      <w:rFonts w:asciiTheme="majorBidi" w:hAnsiTheme="majorBidi"/>
      <w:b/>
      <w:color w:val="A40000"/>
      <w:shd w:color="auto" w:fill="F8F8F8" w:val="clear"/>
    </w:rPr>
  </w:style>
  <w:style w:customStyle="1" w:styleId="NormalTok" w:type="character">
    <w:name w:val="NormalTok"/>
    <w:basedOn w:val="VerbatimChar"/>
    <w:rPr>
      <w:rFonts w:asciiTheme="majorBidi" w:hAnsiTheme="majorBidi"/>
      <w:shd w:color="auto" w:fill="F8F8F8" w:val="clear"/>
    </w:rPr>
  </w:style>
  <w:style w:styleId="FollowedHyperlink" w:type="character">
    <w:name w:val="FollowedHyperlink"/>
    <w:basedOn w:val="DefaultParagraphFont"/>
    <w:semiHidden/>
    <w:unhideWhenUsed/>
    <w:rsid w:val="003F1D0B"/>
    <w:rPr>
      <w:color w:themeColor="followedHyperlink" w:val="800080"/>
      <w:u w:val="single"/>
    </w:rPr>
  </w:style>
  <w:style w:customStyle="1" w:styleId="BodyTextChar" w:type="character">
    <w:name w:val="Body Text Char"/>
    <w:basedOn w:val="DefaultParagraphFont"/>
    <w:link w:val="BodyText"/>
    <w:rsid w:val="00B27D2F"/>
    <w:rPr>
      <w:rFonts w:asciiTheme="majorBidi" w:hAnsiTheme="majorBidi"/>
    </w:rPr>
  </w:style>
  <w:style w:styleId="Footer" w:type="paragraph">
    <w:name w:val="footer"/>
    <w:basedOn w:val="Normal"/>
    <w:link w:val="FooterChar"/>
    <w:unhideWhenUsed/>
    <w:rsid w:val="005E021F"/>
    <w:pPr>
      <w:tabs>
        <w:tab w:pos="4680" w:val="center"/>
        <w:tab w:pos="9360" w:val="right"/>
      </w:tabs>
      <w:spacing w:after="0"/>
    </w:pPr>
  </w:style>
  <w:style w:customStyle="1" w:styleId="FooterChar" w:type="character">
    <w:name w:val="Footer Char"/>
    <w:basedOn w:val="DefaultParagraphFont"/>
    <w:link w:val="Footer"/>
    <w:rsid w:val="005E021F"/>
    <w:rPr>
      <w:rFonts w:asciiTheme="majorBidi" w:hAnsiTheme="majorBidi"/>
    </w:rPr>
  </w:style>
  <w:style w:styleId="PageNumber" w:type="character">
    <w:name w:val="page number"/>
    <w:basedOn w:val="DefaultParagraphFont"/>
    <w:semiHidden/>
    <w:unhideWhenUsed/>
    <w:rsid w:val="005E021F"/>
  </w:style>
  <w:style w:styleId="Header" w:type="paragraph">
    <w:name w:val="header"/>
    <w:basedOn w:val="Normal"/>
    <w:link w:val="HeaderChar"/>
    <w:unhideWhenUsed/>
    <w:rsid w:val="005E021F"/>
    <w:pPr>
      <w:tabs>
        <w:tab w:pos="4680" w:val="center"/>
        <w:tab w:pos="9360" w:val="right"/>
      </w:tabs>
      <w:spacing w:after="0"/>
    </w:pPr>
  </w:style>
  <w:style w:customStyle="1" w:styleId="HeaderChar" w:type="character">
    <w:name w:val="Header Char"/>
    <w:basedOn w:val="DefaultParagraphFont"/>
    <w:link w:val="Header"/>
    <w:rsid w:val="005E021F"/>
    <w:rPr>
      <w:rFonts w:asciiTheme="majorBidi" w:hAnsiTheme="maj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footer1.xml" Type="http://schemas.openxmlformats.org/officeDocument/2006/relationships/footer" /><Relationship Id="rId10" Target="footer2.xml" Type="http://schemas.openxmlformats.org/officeDocument/2006/relationships/footer" /><Relationship Type="http://schemas.openxmlformats.org/officeDocument/2006/relationships/image" Id="rId177" Target="media/rId177.png" /><Relationship Type="http://schemas.openxmlformats.org/officeDocument/2006/relationships/image" Id="rId169" Target="media/rId169.png" /><Relationship Type="http://schemas.openxmlformats.org/officeDocument/2006/relationships/image" Id="rId173" Target="media/rId173.png" /><Relationship Type="http://schemas.openxmlformats.org/officeDocument/2006/relationships/hyperlink" Id="rId158" Target="https://doi.org/10.1002/psp.1825" TargetMode="External" /><Relationship Type="http://schemas.openxmlformats.org/officeDocument/2006/relationships/hyperlink" Id="rId45" Target="https://doi.org/10.1006/juec.2001.2237" TargetMode="External" /><Relationship Type="http://schemas.openxmlformats.org/officeDocument/2006/relationships/hyperlink" Id="rId37" Target="https://doi.org/10.1007/978-3-030-10910-3_11" TargetMode="External" /><Relationship Type="http://schemas.openxmlformats.org/officeDocument/2006/relationships/hyperlink" Id="rId34" Target="https://doi.org/10.1007/978-94-007-5512-3" TargetMode="External" /><Relationship Type="http://schemas.openxmlformats.org/officeDocument/2006/relationships/hyperlink" Id="rId116" Target="https://doi.org/10.1007/s00148-021-00842-5" TargetMode="External" /><Relationship Type="http://schemas.openxmlformats.org/officeDocument/2006/relationships/hyperlink" Id="rId137" Target="https://doi.org/10.1007/s11113-013-9280-y" TargetMode="External" /><Relationship Type="http://schemas.openxmlformats.org/officeDocument/2006/relationships/hyperlink" Id="rId139" Target="https://doi.org/10.1007/s11113-020-09625-4" TargetMode="External" /><Relationship Type="http://schemas.openxmlformats.org/officeDocument/2006/relationships/hyperlink" Id="rId39" Target="https://doi.org/10.1007/s11113-023-09842-7" TargetMode="External" /><Relationship Type="http://schemas.openxmlformats.org/officeDocument/2006/relationships/hyperlink" Id="rId120" Target="https://doi.org/10.1007/s12122-020-09305-4" TargetMode="External" /><Relationship Type="http://schemas.openxmlformats.org/officeDocument/2006/relationships/hyperlink" Id="rId63" Target="https://doi.org/10.1007/s13178-021-00683-7" TargetMode="External" /><Relationship Type="http://schemas.openxmlformats.org/officeDocument/2006/relationships/hyperlink" Id="rId89" Target="https://doi.org/10.1007/s13524-012-0177-x" TargetMode="External" /><Relationship Type="http://schemas.openxmlformats.org/officeDocument/2006/relationships/hyperlink" Id="rId65" Target="https://doi.org/10.1016/j.geoforum.2015.11.007" TargetMode="External" /><Relationship Type="http://schemas.openxmlformats.org/officeDocument/2006/relationships/hyperlink" Id="rId97" Target="https://doi.org/10.1080/01419870.2022.2032246" TargetMode="External" /><Relationship Type="http://schemas.openxmlformats.org/officeDocument/2006/relationships/hyperlink" Id="rId133" Target="https://doi.org/10.1080/0966369X.2023.2249250" TargetMode="External" /><Relationship Type="http://schemas.openxmlformats.org/officeDocument/2006/relationships/hyperlink" Id="rId125" Target="https://doi.org/10.1080/10894160.2015.969594" TargetMode="External" /><Relationship Type="http://schemas.openxmlformats.org/officeDocument/2006/relationships/hyperlink" Id="rId53" Target="https://doi.org/10.1080/1387698042000273479" TargetMode="External" /><Relationship Type="http://schemas.openxmlformats.org/officeDocument/2006/relationships/hyperlink" Id="rId87"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48" Target="https://doi.org/10.1086/718279" TargetMode="External" /><Relationship Type="http://schemas.openxmlformats.org/officeDocument/2006/relationships/hyperlink" Id="rId102" Target="https://doi.org/10.1093/sf/soad108" TargetMode="External" /><Relationship Type="http://schemas.openxmlformats.org/officeDocument/2006/relationships/hyperlink" Id="rId78" Target="https://doi.org/10.1111/1540-6040.00034" TargetMode="External" /><Relationship Type="http://schemas.openxmlformats.org/officeDocument/2006/relationships/hyperlink" Id="rId61" Target="https://doi.org/10.1111/ejed.12608" TargetMode="External" /><Relationship Type="http://schemas.openxmlformats.org/officeDocument/2006/relationships/hyperlink" Id="rId42" Target="https://doi.org/10.1111/gec3.12151" TargetMode="External" /><Relationship Type="http://schemas.openxmlformats.org/officeDocument/2006/relationships/hyperlink" Id="rId95" Target="https://doi.org/10.1111/j.1540-6040.2010.01353.x" TargetMode="External" /><Relationship Type="http://schemas.openxmlformats.org/officeDocument/2006/relationships/hyperlink" Id="rId48" Target="https://doi.org/10.1111/j.1749-8198.2008.00127.x" TargetMode="External" /><Relationship Type="http://schemas.openxmlformats.org/officeDocument/2006/relationships/hyperlink" Id="rId127" Target="https://doi.org/10.1111/j.1944-8287.1999.tb00079.x" TargetMode="External" /><Relationship Type="http://schemas.openxmlformats.org/officeDocument/2006/relationships/hyperlink" Id="rId59" Target="https://doi.org/10.1111/kykl.12206" TargetMode="External" /><Relationship Type="http://schemas.openxmlformats.org/officeDocument/2006/relationships/hyperlink" Id="rId150" Target="https://doi.org/10.1111/lasr.12239" TargetMode="External" /><Relationship Type="http://schemas.openxmlformats.org/officeDocument/2006/relationships/hyperlink" Id="rId143" Target="https://doi.org/10.1111/soc4.12638" TargetMode="External" /><Relationship Type="http://schemas.openxmlformats.org/officeDocument/2006/relationships/hyperlink" Id="rId76" Target="https://doi.org/10.1146/annurev-soc-090320-100926" TargetMode="External" /><Relationship Type="http://schemas.openxmlformats.org/officeDocument/2006/relationships/hyperlink" Id="rId154" Target="https://doi.org/10.1146/annurev.soc.29.010202.100026" TargetMode="External" /><Relationship Type="http://schemas.openxmlformats.org/officeDocument/2006/relationships/hyperlink" Id="rId69" Target="https://doi.org/10.1177/0002716219857667" TargetMode="External" /><Relationship Type="http://schemas.openxmlformats.org/officeDocument/2006/relationships/hyperlink" Id="rId67" Target="https://doi.org/10.1177/0011392119850231" TargetMode="External" /><Relationship Type="http://schemas.openxmlformats.org/officeDocument/2006/relationships/hyperlink" Id="rId55" Target="https://doi.org/10.1177/00380385211073237" TargetMode="External" /><Relationship Type="http://schemas.openxmlformats.org/officeDocument/2006/relationships/hyperlink" Id="rId50" Target="https://doi.org/10.1177/00420980241256821" TargetMode="External" /><Relationship Type="http://schemas.openxmlformats.org/officeDocument/2006/relationships/hyperlink" Id="rId108" Target="https://doi.org/10.1177/01979183231175101" TargetMode="External" /><Relationship Type="http://schemas.openxmlformats.org/officeDocument/2006/relationships/hyperlink" Id="rId100" Target="https://doi.org/10.1177/01979183231187623" TargetMode="External" /><Relationship Type="http://schemas.openxmlformats.org/officeDocument/2006/relationships/hyperlink" Id="rId160" Target="https://doi.org/10.1177/01979183241280596" TargetMode="External" /><Relationship Type="http://schemas.openxmlformats.org/officeDocument/2006/relationships/hyperlink" Id="rId74" Target="https://doi.org/10.1177/1350506811426388" TargetMode="External" /><Relationship Type="http://schemas.openxmlformats.org/officeDocument/2006/relationships/hyperlink" Id="rId118" Target="https://doi.org/10.1177/23780231231222772" TargetMode="External" /><Relationship Type="http://schemas.openxmlformats.org/officeDocument/2006/relationships/hyperlink" Id="rId141" Target="https://doi.org/10.1215/00703370-11482174" TargetMode="External" /><Relationship Type="http://schemas.openxmlformats.org/officeDocument/2006/relationships/hyperlink" Id="rId135" Target="https://doi.org/10.1353/dem.2005.0025" TargetMode="External" /><Relationship Type="http://schemas.openxmlformats.org/officeDocument/2006/relationships/hyperlink" Id="rId106" Target="https://doi.org/10.1353/dem.2008.0009" TargetMode="External" /><Relationship Type="http://schemas.openxmlformats.org/officeDocument/2006/relationships/hyperlink" Id="rId112" Target="https://doi.org/10.1371/journal.pone.0198751" TargetMode="External" /><Relationship Type="http://schemas.openxmlformats.org/officeDocument/2006/relationships/hyperlink" Id="rId82" Target="https://doi.org/10.1515/9781400850174" TargetMode="External" /><Relationship Type="http://schemas.openxmlformats.org/officeDocument/2006/relationships/hyperlink" Id="rId152" Target="https://doi.org/10.31235/osf.io/6wx2h" TargetMode="External" /><Relationship Type="http://schemas.openxmlformats.org/officeDocument/2006/relationships/hyperlink" Id="rId104" Target="https://doi.org/10.31235/osf.io/yb6ua" TargetMode="External" /><Relationship Type="http://schemas.openxmlformats.org/officeDocument/2006/relationships/hyperlink" Id="rId156" Target="https://doi.org/10.3386/w19626" TargetMode="External" /><Relationship Type="http://schemas.openxmlformats.org/officeDocument/2006/relationships/hyperlink" Id="rId57" Target="https://doi.org/10.3389/fhumd.2021.634009" TargetMode="External" /><Relationship Type="http://schemas.openxmlformats.org/officeDocument/2006/relationships/hyperlink" Id="rId110" Target="https://doi.org/10.3390/rel13010006" TargetMode="External" /><Relationship Type="http://schemas.openxmlformats.org/officeDocument/2006/relationships/hyperlink" Id="rId91" Target="https://doi.org/10.7551/mitpress/3303.001.0001" TargetMode="External" /><Relationship Type="http://schemas.openxmlformats.org/officeDocument/2006/relationships/hyperlink" Id="rId93" Target="https://www.jstor.org/stable/271107" TargetMode="External" /><Relationship Type="http://schemas.openxmlformats.org/officeDocument/2006/relationships/hyperlink" Id="rId71" Target="https://www.jstor.org/stable/42864364" TargetMode="External" /><Relationship Type="http://schemas.openxmlformats.org/officeDocument/2006/relationships/hyperlink" Id="rId28" Target="https://www.lgbtmap.org/" TargetMode="External" /></Relationships>
</file>

<file path=word/_rels/footnotes.xml.rels><?xml version="1.0" encoding="UTF-8"?><Relationships xmlns="http://schemas.openxmlformats.org/package/2006/relationships"><Relationship Type="http://schemas.openxmlformats.org/officeDocument/2006/relationships/hyperlink" Id="rId158" Target="https://doi.org/10.1002/psp.1825" TargetMode="External" /><Relationship Type="http://schemas.openxmlformats.org/officeDocument/2006/relationships/hyperlink" Id="rId45" Target="https://doi.org/10.1006/juec.2001.2237" TargetMode="External" /><Relationship Type="http://schemas.openxmlformats.org/officeDocument/2006/relationships/hyperlink" Id="rId37" Target="https://doi.org/10.1007/978-3-030-10910-3_11" TargetMode="External" /><Relationship Type="http://schemas.openxmlformats.org/officeDocument/2006/relationships/hyperlink" Id="rId34" Target="https://doi.org/10.1007/978-94-007-5512-3" TargetMode="External" /><Relationship Type="http://schemas.openxmlformats.org/officeDocument/2006/relationships/hyperlink" Id="rId116" Target="https://doi.org/10.1007/s00148-021-00842-5" TargetMode="External" /><Relationship Type="http://schemas.openxmlformats.org/officeDocument/2006/relationships/hyperlink" Id="rId137" Target="https://doi.org/10.1007/s11113-013-9280-y" TargetMode="External" /><Relationship Type="http://schemas.openxmlformats.org/officeDocument/2006/relationships/hyperlink" Id="rId139" Target="https://doi.org/10.1007/s11113-020-09625-4" TargetMode="External" /><Relationship Type="http://schemas.openxmlformats.org/officeDocument/2006/relationships/hyperlink" Id="rId39" Target="https://doi.org/10.1007/s11113-023-09842-7" TargetMode="External" /><Relationship Type="http://schemas.openxmlformats.org/officeDocument/2006/relationships/hyperlink" Id="rId120" Target="https://doi.org/10.1007/s12122-020-09305-4" TargetMode="External" /><Relationship Type="http://schemas.openxmlformats.org/officeDocument/2006/relationships/hyperlink" Id="rId63" Target="https://doi.org/10.1007/s13178-021-00683-7" TargetMode="External" /><Relationship Type="http://schemas.openxmlformats.org/officeDocument/2006/relationships/hyperlink" Id="rId89" Target="https://doi.org/10.1007/s13524-012-0177-x" TargetMode="External" /><Relationship Type="http://schemas.openxmlformats.org/officeDocument/2006/relationships/hyperlink" Id="rId65" Target="https://doi.org/10.1016/j.geoforum.2015.11.007" TargetMode="External" /><Relationship Type="http://schemas.openxmlformats.org/officeDocument/2006/relationships/hyperlink" Id="rId97" Target="https://doi.org/10.1080/01419870.2022.2032246" TargetMode="External" /><Relationship Type="http://schemas.openxmlformats.org/officeDocument/2006/relationships/hyperlink" Id="rId133" Target="https://doi.org/10.1080/0966369X.2023.2249250" TargetMode="External" /><Relationship Type="http://schemas.openxmlformats.org/officeDocument/2006/relationships/hyperlink" Id="rId125" Target="https://doi.org/10.1080/10894160.2015.969594" TargetMode="External" /><Relationship Type="http://schemas.openxmlformats.org/officeDocument/2006/relationships/hyperlink" Id="rId53" Target="https://doi.org/10.1080/1387698042000273479" TargetMode="External" /><Relationship Type="http://schemas.openxmlformats.org/officeDocument/2006/relationships/hyperlink" Id="rId87" Target="https://doi.org/10.1080/14649360902853262" TargetMode="External" /><Relationship Type="http://schemas.openxmlformats.org/officeDocument/2006/relationships/hyperlink" Id="rId114" Target="https://doi.org/10.1080/17450100903195318" TargetMode="External" /><Relationship Type="http://schemas.openxmlformats.org/officeDocument/2006/relationships/hyperlink" Id="rId148" Target="https://doi.org/10.1086/718279" TargetMode="External" /><Relationship Type="http://schemas.openxmlformats.org/officeDocument/2006/relationships/hyperlink" Id="rId102" Target="https://doi.org/10.1093/sf/soad108" TargetMode="External" /><Relationship Type="http://schemas.openxmlformats.org/officeDocument/2006/relationships/hyperlink" Id="rId78" Target="https://doi.org/10.1111/1540-6040.00034" TargetMode="External" /><Relationship Type="http://schemas.openxmlformats.org/officeDocument/2006/relationships/hyperlink" Id="rId61" Target="https://doi.org/10.1111/ejed.12608" TargetMode="External" /><Relationship Type="http://schemas.openxmlformats.org/officeDocument/2006/relationships/hyperlink" Id="rId42" Target="https://doi.org/10.1111/gec3.12151" TargetMode="External" /><Relationship Type="http://schemas.openxmlformats.org/officeDocument/2006/relationships/hyperlink" Id="rId95" Target="https://doi.org/10.1111/j.1540-6040.2010.01353.x" TargetMode="External" /><Relationship Type="http://schemas.openxmlformats.org/officeDocument/2006/relationships/hyperlink" Id="rId48" Target="https://doi.org/10.1111/j.1749-8198.2008.00127.x" TargetMode="External" /><Relationship Type="http://schemas.openxmlformats.org/officeDocument/2006/relationships/hyperlink" Id="rId127" Target="https://doi.org/10.1111/j.1944-8287.1999.tb00079.x" TargetMode="External" /><Relationship Type="http://schemas.openxmlformats.org/officeDocument/2006/relationships/hyperlink" Id="rId59" Target="https://doi.org/10.1111/kykl.12206" TargetMode="External" /><Relationship Type="http://schemas.openxmlformats.org/officeDocument/2006/relationships/hyperlink" Id="rId150" Target="https://doi.org/10.1111/lasr.12239" TargetMode="External" /><Relationship Type="http://schemas.openxmlformats.org/officeDocument/2006/relationships/hyperlink" Id="rId143" Target="https://doi.org/10.1111/soc4.12638" TargetMode="External" /><Relationship Type="http://schemas.openxmlformats.org/officeDocument/2006/relationships/hyperlink" Id="rId76" Target="https://doi.org/10.1146/annurev-soc-090320-100926" TargetMode="External" /><Relationship Type="http://schemas.openxmlformats.org/officeDocument/2006/relationships/hyperlink" Id="rId154" Target="https://doi.org/10.1146/annurev.soc.29.010202.100026" TargetMode="External" /><Relationship Type="http://schemas.openxmlformats.org/officeDocument/2006/relationships/hyperlink" Id="rId69" Target="https://doi.org/10.1177/0002716219857667" TargetMode="External" /><Relationship Type="http://schemas.openxmlformats.org/officeDocument/2006/relationships/hyperlink" Id="rId67" Target="https://doi.org/10.1177/0011392119850231" TargetMode="External" /><Relationship Type="http://schemas.openxmlformats.org/officeDocument/2006/relationships/hyperlink" Id="rId55" Target="https://doi.org/10.1177/00380385211073237" TargetMode="External" /><Relationship Type="http://schemas.openxmlformats.org/officeDocument/2006/relationships/hyperlink" Id="rId50" Target="https://doi.org/10.1177/00420980241256821" TargetMode="External" /><Relationship Type="http://schemas.openxmlformats.org/officeDocument/2006/relationships/hyperlink" Id="rId108" Target="https://doi.org/10.1177/01979183231175101" TargetMode="External" /><Relationship Type="http://schemas.openxmlformats.org/officeDocument/2006/relationships/hyperlink" Id="rId100" Target="https://doi.org/10.1177/01979183231187623" TargetMode="External" /><Relationship Type="http://schemas.openxmlformats.org/officeDocument/2006/relationships/hyperlink" Id="rId160" Target="https://doi.org/10.1177/01979183241280596" TargetMode="External" /><Relationship Type="http://schemas.openxmlformats.org/officeDocument/2006/relationships/hyperlink" Id="rId74" Target="https://doi.org/10.1177/1350506811426388" TargetMode="External" /><Relationship Type="http://schemas.openxmlformats.org/officeDocument/2006/relationships/hyperlink" Id="rId118" Target="https://doi.org/10.1177/23780231231222772" TargetMode="External" /><Relationship Type="http://schemas.openxmlformats.org/officeDocument/2006/relationships/hyperlink" Id="rId141" Target="https://doi.org/10.1215/00703370-11482174" TargetMode="External" /><Relationship Type="http://schemas.openxmlformats.org/officeDocument/2006/relationships/hyperlink" Id="rId135" Target="https://doi.org/10.1353/dem.2005.0025" TargetMode="External" /><Relationship Type="http://schemas.openxmlformats.org/officeDocument/2006/relationships/hyperlink" Id="rId106" Target="https://doi.org/10.1353/dem.2008.0009" TargetMode="External" /><Relationship Type="http://schemas.openxmlformats.org/officeDocument/2006/relationships/hyperlink" Id="rId112" Target="https://doi.org/10.1371/journal.pone.0198751" TargetMode="External" /><Relationship Type="http://schemas.openxmlformats.org/officeDocument/2006/relationships/hyperlink" Id="rId82" Target="https://doi.org/10.1515/9781400850174" TargetMode="External" /><Relationship Type="http://schemas.openxmlformats.org/officeDocument/2006/relationships/hyperlink" Id="rId152" Target="https://doi.org/10.31235/osf.io/6wx2h" TargetMode="External" /><Relationship Type="http://schemas.openxmlformats.org/officeDocument/2006/relationships/hyperlink" Id="rId104" Target="https://doi.org/10.31235/osf.io/yb6ua" TargetMode="External" /><Relationship Type="http://schemas.openxmlformats.org/officeDocument/2006/relationships/hyperlink" Id="rId156" Target="https://doi.org/10.3386/w19626" TargetMode="External" /><Relationship Type="http://schemas.openxmlformats.org/officeDocument/2006/relationships/hyperlink" Id="rId57" Target="https://doi.org/10.3389/fhumd.2021.634009" TargetMode="External" /><Relationship Type="http://schemas.openxmlformats.org/officeDocument/2006/relationships/hyperlink" Id="rId110" Target="https://doi.org/10.3390/rel13010006" TargetMode="External" /><Relationship Type="http://schemas.openxmlformats.org/officeDocument/2006/relationships/hyperlink" Id="rId91" Target="https://doi.org/10.7551/mitpress/3303.001.0001" TargetMode="External" /><Relationship Type="http://schemas.openxmlformats.org/officeDocument/2006/relationships/hyperlink" Id="rId93" Target="https://www.jstor.org/stable/271107" TargetMode="External" /><Relationship Type="http://schemas.openxmlformats.org/officeDocument/2006/relationships/hyperlink" Id="rId71" Target="https://www.jstor.org/stable/42864364" TargetMode="External" /><Relationship Type="http://schemas.openxmlformats.org/officeDocument/2006/relationships/hyperlink" Id="rId28" Target="https://www.lgbtmap.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word-template.dotx</Template>
  <TotalTime>0</TotalTime>
  <Pages>35</Pages>
  <Words>12944</Words>
  <Characters>73782</Characters>
  <Application>Microsoft Office Word</Application>
  <DocSecurity>0</DocSecurity>
  <Lines>614</Lines>
  <Paragraphs>173</Paragraphs>
  <ScaleCrop>false</ScaleCrop>
  <HeadingPairs>
    <vt:vector size="2" baseType="variant">
      <vt:variant>
        <vt:lpstr>Title</vt:lpstr>
      </vt:variant>
      <vt:variant>
        <vt:i4>1</vt:i4>
      </vt:variant>
    </vt:vector>
  </HeadingPairs>
  <TitlesOfParts>
    <vt:vector size="1" baseType="lpstr">
      <vt:lpstr>Making Migration Sexy: How LGB Policies Influence International Migration</vt:lpstr>
    </vt:vector>
  </TitlesOfParts>
  <Company/>
  <LinksUpToDate>false</LinksUpToDate>
  <CharactersWithSpaces>86553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Geography of Immigrants in Same-Sex Couples in the United States</dc:title>
  <dc:creator>Nathan I. Hoffmann, Department of Sociology, UCLA; Kristopher Velasco, Department of Sociology, Princeton University</dc:creator>
  <dc:language>en-US</dc:language>
  <cp:keywords/>
  <dcterms:created xsi:type="dcterms:W3CDTF">2025-05-27T02:53:43Z</dcterms:created>
  <dcterms:modified xsi:type="dcterms:W3CDTF">2025-05-27T02:53:43Z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Where do LGBTQ+ immigrants settle in the United States? The policy landscape for same-sex couples in the U.S. has changed rapidly in recent years, and number of immigrants in same-sex couples have increased rapidly. But little is known about where these lesbian, gay, bisexual, and queer (LGBQ) immigrants choose to settle and enjoy their new rights. Do they behave more similarly to their straight immigrant counterparts and locate based on job opportunities and cost of living? Or do they gravitate toward more LGBTQ+-friendly cities and states, as U.S.-born LGBQ people do? How have these patterns changed over time, especially in conjunction with local policy changes relevant to LGBTQ+ people and immigrants? Using American Community Survey data from 2008-2023 and original datasets, this paper studies the geographic context of immigrants in same-sex couples in the U.S. We find that the distribution of immigrants in same-sex couples is expanding across the U.S. over time. Individually, these immigrants resemble U.S.-born LGBQ Americans, with higher incomes and educational attainment. At the geographic level, they appear more distinct, clustering in areas with more LGBT nonprofit organizations, greater numbers of immigrants, higher density, and higher property values than the U.S.-born in same-sex couples. Our findings contribute to a fuller understanding of this rapidly growing population and its unique characteristics.</vt:lpwstr>
  </property>
  <property fmtid="{D5CDD505-2E9C-101B-9397-08002B2CF9AE}" pid="3" name="always_allow_html">
    <vt:lpwstr>True</vt:lpwstr>
  </property>
  <property fmtid="{D5CDD505-2E9C-101B-9397-08002B2CF9AE}" pid="4" name="bibliography">
    <vt:lpwstr>/Users/nathan/My Drive/Projects/2020 Same-Sex Immigrant Couples/Same-Sex Immigration.bib</vt:lpwstr>
  </property>
  <property fmtid="{D5CDD505-2E9C-101B-9397-08002B2CF9AE}" pid="5" name="citeproc">
    <vt:lpwstr>False</vt:lpwstr>
  </property>
  <property fmtid="{D5CDD505-2E9C-101B-9397-08002B2CF9AE}" pid="6" name="date">
    <vt:lpwstr>May 26, 2025</vt:lpwstr>
  </property>
  <property fmtid="{D5CDD505-2E9C-101B-9397-08002B2CF9AE}" pid="7" name="editor_options">
    <vt:lpwstr/>
  </property>
  <property fmtid="{D5CDD505-2E9C-101B-9397-08002B2CF9AE}" pid="8" name="fontfamily">
    <vt:lpwstr>mathpazo</vt:lpwstr>
  </property>
  <property fmtid="{D5CDD505-2E9C-101B-9397-08002B2CF9AE}" pid="9" name="fontsize">
    <vt:lpwstr>11pt</vt:lpwstr>
  </property>
  <property fmtid="{D5CDD505-2E9C-101B-9397-08002B2CF9AE}" pid="10" name="geometry">
    <vt:lpwstr>margin= 1in</vt:lpwstr>
  </property>
  <property fmtid="{D5CDD505-2E9C-101B-9397-08002B2CF9AE}" pid="11" name="header-includes">
    <vt:lpwstr/>
  </property>
  <property fmtid="{D5CDD505-2E9C-101B-9397-08002B2CF9AE}" pid="12" name="indent">
    <vt:lpwstr>True</vt:lpwstr>
  </property>
  <property fmtid="{D5CDD505-2E9C-101B-9397-08002B2CF9AE}" pid="13" name="link-citations">
    <vt:lpwstr>True</vt:lpwstr>
  </property>
  <property fmtid="{D5CDD505-2E9C-101B-9397-08002B2CF9AE}" pid="14" name="linkcolor">
    <vt:lpwstr>blue</vt:lpwstr>
  </property>
  <property fmtid="{D5CDD505-2E9C-101B-9397-08002B2CF9AE}" pid="15" name="output">
    <vt:lpwstr/>
  </property>
</Properties>
</file>